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1B3E" w14:textId="013FB79F" w:rsidR="00214D2B" w:rsidRPr="0009477D" w:rsidRDefault="0009477D" w:rsidP="00214D2B">
      <w:pPr>
        <w:rPr>
          <w:rFonts w:ascii="Century Gothic" w:hAnsi="Century Gothic" w:cstheme="minorHAnsi"/>
          <w:color w:val="C00000"/>
        </w:rPr>
      </w:pPr>
      <w:r w:rsidRPr="0009477D">
        <w:rPr>
          <w:rFonts w:ascii="Century Gothic" w:hAnsi="Century Gothic" w:cstheme="minorHAnsi"/>
          <w:noProof/>
          <w:color w:val="C00000"/>
        </w:rPr>
        <mc:AlternateContent>
          <mc:Choice Requires="wps">
            <w:drawing>
              <wp:anchor distT="45720" distB="45720" distL="114300" distR="114300" simplePos="0" relativeHeight="251659264" behindDoc="1" locked="0" layoutInCell="1" allowOverlap="1" wp14:anchorId="445ABAF9" wp14:editId="2733F2E4">
                <wp:simplePos x="0" y="0"/>
                <wp:positionH relativeFrom="margin">
                  <wp:posOffset>-85725</wp:posOffset>
                </wp:positionH>
                <wp:positionV relativeFrom="paragraph">
                  <wp:posOffset>-418465</wp:posOffset>
                </wp:positionV>
                <wp:extent cx="6061075" cy="53861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538619"/>
                        </a:xfrm>
                        <a:prstGeom prst="rect">
                          <a:avLst/>
                        </a:prstGeom>
                        <a:solidFill>
                          <a:srgbClr val="FFFFFF"/>
                        </a:solidFill>
                        <a:ln w="9525">
                          <a:noFill/>
                          <a:miter lim="800000"/>
                          <a:headEnd/>
                          <a:tailEnd/>
                        </a:ln>
                      </wps:spPr>
                      <wps:txbx>
                        <w:txbxContent>
                          <w:p w14:paraId="5238966B" w14:textId="77777777" w:rsidR="0009477D" w:rsidRPr="005A6841" w:rsidRDefault="0009477D" w:rsidP="005A6841">
                            <w:pPr>
                              <w:pStyle w:val="Heading2"/>
                              <w:rPr>
                                <w:b w:val="0"/>
                                <w:bCs w:val="0"/>
                                <w:sz w:val="28"/>
                                <w:szCs w:val="28"/>
                              </w:rPr>
                            </w:pPr>
                            <w:r w:rsidRPr="005A6841">
                              <w:rPr>
                                <w:b w:val="0"/>
                                <w:bCs w:val="0"/>
                                <w:sz w:val="28"/>
                                <w:szCs w:val="28"/>
                              </w:rPr>
                              <w:t xml:space="preserve">Connected Care Project: The value of real-time data sharing across the South Australian health system </w:t>
                            </w:r>
                          </w:p>
                          <w:p w14:paraId="5FEF76D0" w14:textId="77777777" w:rsidR="0009477D" w:rsidRPr="000C1369" w:rsidRDefault="0009477D" w:rsidP="0009477D">
                            <w:pPr>
                              <w:pStyle w:val="Heading2"/>
                              <w:jc w:val="center"/>
                              <w:rPr>
                                <w:b w:val="0"/>
                                <w:bCs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ABAF9" id="_x0000_t202" coordsize="21600,21600" o:spt="202" path="m,l,21600r21600,l21600,xe">
                <v:stroke joinstyle="miter"/>
                <v:path gradientshapeok="t" o:connecttype="rect"/>
              </v:shapetype>
              <v:shape id="Text Box 2" o:spid="_x0000_s1026" type="#_x0000_t202" style="position:absolute;margin-left:-6.75pt;margin-top:-32.95pt;width:477.25pt;height:42.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" stroked="f">
                <v:textbox>
                  <w:txbxContent>
                    <w:p w14:paraId="5238966B" w14:textId="77777777" w:rsidR="0009477D" w:rsidRPr="005A6841" w:rsidRDefault="0009477D" w:rsidP="005A6841">
                      <w:pPr>
                        <w:pStyle w:val="Heading2"/>
                        <w:rPr>
                          <w:b w:val="0"/>
                          <w:bCs w:val="0"/>
                          <w:sz w:val="28"/>
                          <w:szCs w:val="28"/>
                        </w:rPr>
                      </w:pPr>
                      <w:r w:rsidRPr="005A6841">
                        <w:rPr>
                          <w:b w:val="0"/>
                          <w:bCs w:val="0"/>
                          <w:sz w:val="28"/>
                          <w:szCs w:val="28"/>
                        </w:rPr>
                        <w:t xml:space="preserve">Connected Care Project: The value of real-time data sharing across the South Australian health system </w:t>
                      </w:r>
                    </w:p>
                    <w:p w14:paraId="5FEF76D0" w14:textId="77777777" w:rsidR="0009477D" w:rsidRPr="000C1369" w:rsidRDefault="0009477D" w:rsidP="0009477D">
                      <w:pPr>
                        <w:pStyle w:val="Heading2"/>
                        <w:jc w:val="center"/>
                        <w:rPr>
                          <w:b w:val="0"/>
                          <w:bCs w:val="0"/>
                        </w:rPr>
                      </w:pPr>
                    </w:p>
                  </w:txbxContent>
                </v:textbox>
                <w10:wrap anchorx="margin"/>
              </v:shape>
            </w:pict>
          </mc:Fallback>
        </mc:AlternateContent>
      </w:r>
    </w:p>
    <w:p w14:paraId="7E65E784" w14:textId="300CB6A5" w:rsidR="0009477D" w:rsidRPr="0009477D" w:rsidRDefault="0009477D" w:rsidP="005A6841">
      <w:pPr>
        <w:contextualSpacing/>
        <w:rPr>
          <w:rFonts w:ascii="Century Gothic" w:hAnsi="Century Gothic" w:cstheme="minorHAnsi"/>
          <w:b/>
          <w:bCs/>
          <w:color w:val="C00000"/>
          <w:sz w:val="22"/>
          <w:szCs w:val="22"/>
        </w:rPr>
      </w:pPr>
      <w:r w:rsidRPr="0009477D">
        <w:rPr>
          <w:rFonts w:ascii="Century Gothic" w:hAnsi="Century Gothic" w:cstheme="minorHAnsi"/>
          <w:b/>
          <w:bCs/>
          <w:color w:val="C00000"/>
          <w:sz w:val="22"/>
          <w:szCs w:val="22"/>
        </w:rPr>
        <w:t>Background</w:t>
      </w:r>
    </w:p>
    <w:p w14:paraId="266FB734" w14:textId="4CD89D58" w:rsidR="0009477D" w:rsidRPr="0009477D" w:rsidRDefault="0009477D" w:rsidP="005A6841">
      <w:pPr>
        <w:contextualSpacing/>
        <w:rPr>
          <w:rFonts w:ascii="Century Gothic" w:hAnsi="Century Gothic" w:cstheme="minorHAnsi"/>
          <w:sz w:val="22"/>
          <w:szCs w:val="22"/>
        </w:rPr>
      </w:pPr>
      <w:r w:rsidRPr="0009477D">
        <w:rPr>
          <w:rFonts w:ascii="Century Gothic" w:hAnsi="Century Gothic" w:cstheme="minorHAnsi"/>
          <w:sz w:val="22"/>
          <w:szCs w:val="22"/>
        </w:rPr>
        <w:t xml:space="preserve">The </w:t>
      </w:r>
      <w:hyperlink r:id="rId10" w:history="1">
        <w:r w:rsidRPr="005A6841">
          <w:rPr>
            <w:rStyle w:val="Hyperlink"/>
            <w:rFonts w:ascii="Century Gothic" w:hAnsi="Century Gothic" w:cstheme="minorHAnsi"/>
            <w:sz w:val="22"/>
            <w:szCs w:val="22"/>
          </w:rPr>
          <w:t>Connected</w:t>
        </w:r>
      </w:hyperlink>
      <w:r w:rsidRPr="0009477D">
        <w:rPr>
          <w:rFonts w:ascii="Century Gothic" w:hAnsi="Century Gothic" w:cstheme="minorHAnsi"/>
          <w:color w:val="4472C4" w:themeColor="accent1"/>
          <w:sz w:val="22"/>
          <w:szCs w:val="22"/>
          <w:u w:val="single"/>
        </w:rPr>
        <w:t xml:space="preserve"> Care Project</w:t>
      </w:r>
      <w:r w:rsidRPr="0009477D">
        <w:rPr>
          <w:rFonts w:ascii="Century Gothic" w:hAnsi="Century Gothic" w:cstheme="minorHAnsi"/>
          <w:color w:val="4472C4" w:themeColor="accent1"/>
          <w:sz w:val="22"/>
          <w:szCs w:val="22"/>
        </w:rPr>
        <w:t xml:space="preserve"> </w:t>
      </w:r>
      <w:r w:rsidRPr="0009477D">
        <w:rPr>
          <w:rFonts w:ascii="Century Gothic" w:hAnsi="Century Gothic" w:cstheme="minorHAnsi"/>
          <w:sz w:val="22"/>
          <w:szCs w:val="22"/>
        </w:rPr>
        <w:t xml:space="preserve">commenced in South Australia in 2019 and set out to answer the question of how we could better use health data to improve continuity of care for health consumers and clinicians in South Australia. </w:t>
      </w:r>
    </w:p>
    <w:p w14:paraId="26D4104C" w14:textId="5456B2F0" w:rsidR="0009477D" w:rsidRPr="0009477D" w:rsidRDefault="005A6841" w:rsidP="005A6841">
      <w:pPr>
        <w:tabs>
          <w:tab w:val="left" w:pos="3120"/>
        </w:tabs>
        <w:rPr>
          <w:rFonts w:ascii="Century Gothic" w:hAnsi="Century Gothic" w:cstheme="minorHAnsi"/>
          <w:sz w:val="22"/>
          <w:szCs w:val="22"/>
        </w:rPr>
      </w:pPr>
      <w:r>
        <w:rPr>
          <w:rFonts w:ascii="Century Gothic" w:hAnsi="Century Gothic" w:cstheme="minorHAnsi"/>
          <w:sz w:val="22"/>
          <w:szCs w:val="22"/>
        </w:rPr>
        <w:tab/>
      </w:r>
    </w:p>
    <w:p w14:paraId="3081F53F" w14:textId="49F2039D" w:rsidR="0009477D" w:rsidRPr="0009477D" w:rsidRDefault="0009477D" w:rsidP="0009477D">
      <w:pPr>
        <w:rPr>
          <w:rFonts w:ascii="Century Gothic" w:hAnsi="Century Gothic" w:cstheme="minorHAnsi"/>
          <w:sz w:val="22"/>
          <w:szCs w:val="22"/>
        </w:rPr>
      </w:pPr>
      <w:r w:rsidRPr="0009477D">
        <w:rPr>
          <w:rFonts w:ascii="Century Gothic" w:hAnsi="Century Gothic" w:cstheme="minorHAnsi"/>
          <w:sz w:val="22"/>
          <w:szCs w:val="22"/>
        </w:rPr>
        <w:t>Ongoing work with health consumers, clinicians and system administrators has led to a strong focus on the development of a health information exchange as being the best way to address the vision:</w:t>
      </w:r>
    </w:p>
    <w:p w14:paraId="7441FA53" w14:textId="77777777" w:rsidR="0009477D" w:rsidRPr="0009477D" w:rsidRDefault="0009477D" w:rsidP="0009477D">
      <w:pPr>
        <w:rPr>
          <w:rFonts w:ascii="Century Gothic" w:hAnsi="Century Gothic" w:cstheme="minorHAnsi"/>
          <w:sz w:val="22"/>
          <w:szCs w:val="22"/>
        </w:rPr>
      </w:pPr>
    </w:p>
    <w:p w14:paraId="04AA503A" w14:textId="1F175BAE" w:rsidR="0009477D" w:rsidRPr="0009477D" w:rsidRDefault="0009477D" w:rsidP="0009477D">
      <w:pPr>
        <w:rPr>
          <w:rFonts w:ascii="Century Gothic" w:hAnsi="Century Gothic" w:cstheme="minorHAnsi"/>
          <w:sz w:val="22"/>
          <w:szCs w:val="22"/>
        </w:rPr>
      </w:pPr>
      <w:r w:rsidRPr="0009477D">
        <w:rPr>
          <w:rFonts w:ascii="Century Gothic" w:hAnsi="Century Gothic" w:cstheme="minorHAnsi"/>
          <w:noProof/>
          <w:sz w:val="20"/>
          <w:szCs w:val="20"/>
        </w:rPr>
        <mc:AlternateContent>
          <mc:Choice Requires="wps">
            <w:drawing>
              <wp:anchor distT="0" distB="0" distL="114300" distR="114300" simplePos="0" relativeHeight="251661312" behindDoc="1" locked="0" layoutInCell="1" allowOverlap="1" wp14:anchorId="10779C8B" wp14:editId="5581C7A4">
                <wp:simplePos x="0" y="0"/>
                <wp:positionH relativeFrom="margin">
                  <wp:posOffset>225468</wp:posOffset>
                </wp:positionH>
                <wp:positionV relativeFrom="paragraph">
                  <wp:posOffset>70816</wp:posOffset>
                </wp:positionV>
                <wp:extent cx="5536505" cy="1127342"/>
                <wp:effectExtent l="0" t="0" r="1270" b="3175"/>
                <wp:wrapNone/>
                <wp:docPr id="14" name="Rounded Rectangle 10"/>
                <wp:cNvGraphicFramePr/>
                <a:graphic xmlns:a="http://schemas.openxmlformats.org/drawingml/2006/main">
                  <a:graphicData uri="http://schemas.microsoft.com/office/word/2010/wordprocessingShape">
                    <wps:wsp>
                      <wps:cNvSpPr/>
                      <wps:spPr>
                        <a:xfrm>
                          <a:off x="0" y="0"/>
                          <a:ext cx="5536505" cy="112734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2EC255" w14:textId="77777777" w:rsidR="0009477D" w:rsidRPr="00EC1E7A" w:rsidRDefault="0009477D" w:rsidP="0009477D">
                            <w:pPr>
                              <w:jc w:val="center"/>
                              <w:rPr>
                                <w:color w:val="1995A3"/>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79C8B" id="Rounded Rectangle 10" o:spid="_x0000_s1027" style="position:absolute;margin-left:17.75pt;margin-top:5.6pt;width:435.95pt;height:88.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" fillcolor="#f2f2f2 [3052]" stroked="f" strokeweight="1pt">
                <v:stroke joinstyle="miter"/>
                <v:textbox>
                  <w:txbxContent>
                    <w:p w14:paraId="5F2EC255" w14:textId="77777777" w:rsidR="0009477D" w:rsidRPr="00EC1E7A" w:rsidRDefault="0009477D" w:rsidP="0009477D">
                      <w:pPr>
                        <w:jc w:val="center"/>
                        <w:rPr>
                          <w:color w:val="1995A3"/>
                          <w:lang w:eastAsia="en-GB"/>
                        </w:rPr>
                      </w:pPr>
                    </w:p>
                  </w:txbxContent>
                </v:textbox>
                <w10:wrap anchorx="margin"/>
              </v:roundrect>
            </w:pict>
          </mc:Fallback>
        </mc:AlternateContent>
      </w:r>
    </w:p>
    <w:p w14:paraId="14D4687C" w14:textId="77777777" w:rsidR="0009477D" w:rsidRPr="0009477D" w:rsidRDefault="0009477D" w:rsidP="0009477D">
      <w:pPr>
        <w:ind w:left="720"/>
        <w:rPr>
          <w:rFonts w:ascii="Century Gothic" w:hAnsi="Century Gothic" w:cstheme="minorHAnsi"/>
          <w:i/>
          <w:iCs/>
          <w:sz w:val="22"/>
          <w:szCs w:val="22"/>
          <w:lang w:val="en-US"/>
        </w:rPr>
      </w:pPr>
      <w:r w:rsidRPr="0009477D">
        <w:rPr>
          <w:rFonts w:ascii="Century Gothic" w:hAnsi="Century Gothic" w:cstheme="minorHAnsi"/>
          <w:i/>
          <w:iCs/>
          <w:color w:val="1596A3"/>
          <w:sz w:val="22"/>
          <w:szCs w:val="22"/>
          <w:lang w:val="en-US"/>
        </w:rPr>
        <w:t>“</w:t>
      </w:r>
      <w:proofErr w:type="gramStart"/>
      <w:r w:rsidRPr="0009477D">
        <w:rPr>
          <w:rFonts w:ascii="Century Gothic" w:hAnsi="Century Gothic" w:cstheme="minorHAnsi"/>
          <w:i/>
          <w:iCs/>
          <w:color w:val="1596A3"/>
          <w:sz w:val="22"/>
          <w:szCs w:val="22"/>
          <w:lang w:val="en-US"/>
        </w:rPr>
        <w:t>…..</w:t>
      </w:r>
      <w:proofErr w:type="gramEnd"/>
      <w:r w:rsidRPr="0009477D">
        <w:rPr>
          <w:rFonts w:ascii="Century Gothic" w:hAnsi="Century Gothic" w:cstheme="minorHAnsi"/>
          <w:i/>
          <w:iCs/>
          <w:color w:val="1596A3"/>
          <w:sz w:val="22"/>
          <w:szCs w:val="22"/>
          <w:lang w:val="en-US"/>
        </w:rPr>
        <w:t>to provide real time transfer of healthcare information between primary and hospital care providers that is readily accessible at point of care to assist healthcare decision making.  Track the patient journey across the system to support coordination of care, identify gaps in care and ultimately improve services” (HTSA, 2020)</w:t>
      </w:r>
    </w:p>
    <w:p w14:paraId="33B9255B" w14:textId="77777777" w:rsidR="0009477D" w:rsidRPr="0009477D" w:rsidRDefault="0009477D" w:rsidP="0009477D">
      <w:pPr>
        <w:rPr>
          <w:rFonts w:ascii="Century Gothic" w:hAnsi="Century Gothic" w:cstheme="minorHAnsi"/>
          <w:sz w:val="22"/>
          <w:szCs w:val="22"/>
        </w:rPr>
      </w:pPr>
    </w:p>
    <w:p w14:paraId="3BBF412C" w14:textId="77777777" w:rsidR="0009477D" w:rsidRPr="0009477D" w:rsidRDefault="0009477D" w:rsidP="0009477D">
      <w:pPr>
        <w:rPr>
          <w:rFonts w:ascii="Century Gothic" w:hAnsi="Century Gothic" w:cstheme="minorHAnsi"/>
          <w:sz w:val="22"/>
          <w:szCs w:val="22"/>
        </w:rPr>
      </w:pPr>
    </w:p>
    <w:p w14:paraId="60DAD266" w14:textId="222D37B8" w:rsidR="0009477D" w:rsidRPr="0009477D" w:rsidRDefault="0009477D" w:rsidP="0009477D">
      <w:pPr>
        <w:rPr>
          <w:rFonts w:ascii="Century Gothic" w:hAnsi="Century Gothic" w:cstheme="minorHAnsi"/>
          <w:sz w:val="22"/>
          <w:szCs w:val="22"/>
        </w:rPr>
      </w:pPr>
      <w:r w:rsidRPr="0009477D">
        <w:rPr>
          <w:rFonts w:ascii="Century Gothic" w:hAnsi="Century Gothic" w:cstheme="minorHAnsi"/>
          <w:sz w:val="22"/>
          <w:szCs w:val="22"/>
        </w:rPr>
        <w:t>This document seeks to outline the value that health information exchange can have from the perspective of key user groups: health consumers, clinicians and health system managers</w:t>
      </w:r>
    </w:p>
    <w:p w14:paraId="45C671B0" w14:textId="77777777" w:rsidR="0009477D" w:rsidRPr="0009477D" w:rsidRDefault="0009477D" w:rsidP="0009477D">
      <w:pPr>
        <w:rPr>
          <w:rFonts w:ascii="Century Gothic" w:hAnsi="Century Gothic" w:cstheme="minorHAnsi"/>
          <w:sz w:val="22"/>
          <w:szCs w:val="22"/>
        </w:rPr>
      </w:pPr>
    </w:p>
    <w:p w14:paraId="69045696" w14:textId="3333F8B8" w:rsidR="0009477D" w:rsidRPr="0009477D" w:rsidRDefault="0009477D" w:rsidP="0009477D">
      <w:pPr>
        <w:rPr>
          <w:rFonts w:ascii="Century Gothic" w:hAnsi="Century Gothic" w:cstheme="minorHAnsi"/>
          <w:b/>
          <w:bCs/>
          <w:color w:val="C00000"/>
          <w:sz w:val="22"/>
          <w:szCs w:val="22"/>
        </w:rPr>
      </w:pPr>
      <w:r w:rsidRPr="0009477D">
        <w:rPr>
          <w:rFonts w:ascii="Century Gothic" w:hAnsi="Century Gothic" w:cstheme="minorHAnsi"/>
          <w:b/>
          <w:bCs/>
          <w:color w:val="C00000"/>
          <w:sz w:val="22"/>
          <w:szCs w:val="22"/>
        </w:rPr>
        <w:t>Definition of a Health Information Exchange</w:t>
      </w:r>
    </w:p>
    <w:p w14:paraId="667A96AD" w14:textId="77777777" w:rsidR="0009477D" w:rsidRPr="0009477D" w:rsidRDefault="0009477D" w:rsidP="0009477D">
      <w:pPr>
        <w:rPr>
          <w:rFonts w:ascii="Century Gothic" w:hAnsi="Century Gothic" w:cstheme="minorHAnsi"/>
          <w:sz w:val="22"/>
          <w:szCs w:val="22"/>
        </w:rPr>
      </w:pPr>
      <w:r w:rsidRPr="0009477D">
        <w:rPr>
          <w:rFonts w:ascii="Century Gothic" w:hAnsi="Century Gothic" w:cstheme="minorHAnsi"/>
          <w:sz w:val="22"/>
          <w:szCs w:val="22"/>
        </w:rPr>
        <w:t xml:space="preserve">Health Information Exchange is both a verb; the process and action of exchanging health data in near real-time, at point of care, between members of the care team and a noun; a system or software platform that enables and enacts the movement of health data in near-real-time between members of the health-care team.  </w:t>
      </w:r>
    </w:p>
    <w:p w14:paraId="07F3510E" w14:textId="77777777" w:rsidR="0009477D" w:rsidRPr="0009477D" w:rsidRDefault="0009477D" w:rsidP="0009477D">
      <w:pPr>
        <w:rPr>
          <w:rFonts w:ascii="Century Gothic" w:hAnsi="Century Gothic" w:cstheme="minorHAnsi"/>
          <w:sz w:val="22"/>
          <w:szCs w:val="22"/>
        </w:rPr>
      </w:pPr>
    </w:p>
    <w:p w14:paraId="1C793046" w14:textId="77777777" w:rsidR="0009477D" w:rsidRPr="0009477D" w:rsidRDefault="0009477D" w:rsidP="0009477D">
      <w:pPr>
        <w:rPr>
          <w:rFonts w:ascii="Century Gothic" w:hAnsi="Century Gothic" w:cstheme="minorHAnsi"/>
          <w:sz w:val="22"/>
          <w:szCs w:val="22"/>
        </w:rPr>
      </w:pPr>
      <w:r w:rsidRPr="0009477D">
        <w:rPr>
          <w:rFonts w:ascii="Century Gothic" w:hAnsi="Century Gothic" w:cstheme="minorHAnsi"/>
          <w:sz w:val="22"/>
          <w:szCs w:val="22"/>
        </w:rPr>
        <w:t xml:space="preserve">Whilst the primary role of health information exchange is to improve the delivery and experience of healthcare at point of delivery, additional applications include health service planning and improvement and research, particularly population-level research. </w:t>
      </w:r>
    </w:p>
    <w:p w14:paraId="703DAB05" w14:textId="77777777" w:rsidR="0009477D" w:rsidRPr="0009477D" w:rsidRDefault="0009477D" w:rsidP="0009477D">
      <w:pPr>
        <w:rPr>
          <w:rFonts w:ascii="Century Gothic" w:hAnsi="Century Gothic" w:cstheme="minorHAnsi"/>
          <w:sz w:val="22"/>
          <w:szCs w:val="22"/>
        </w:rPr>
      </w:pPr>
    </w:p>
    <w:p w14:paraId="08D6C47F" w14:textId="77777777" w:rsidR="0009477D" w:rsidRPr="0009477D" w:rsidRDefault="0009477D" w:rsidP="0009477D">
      <w:pPr>
        <w:rPr>
          <w:rFonts w:ascii="Century Gothic" w:hAnsi="Century Gothic" w:cstheme="minorHAnsi"/>
          <w:sz w:val="22"/>
          <w:szCs w:val="22"/>
        </w:rPr>
      </w:pPr>
      <w:r w:rsidRPr="0009477D">
        <w:rPr>
          <w:rFonts w:ascii="Century Gothic" w:hAnsi="Century Gothic" w:cstheme="minorHAnsi"/>
          <w:sz w:val="22"/>
          <w:szCs w:val="22"/>
        </w:rPr>
        <w:t xml:space="preserve">Benefits for health information exchange have been described across the whole patient journey, for clinicians and patients in delivering safer direct care, for health system managers in coordinating, predicting and understanding patterns of service use and for system planners in researching and analysing population and location-based data to improve health outcomes. </w:t>
      </w:r>
    </w:p>
    <w:p w14:paraId="323D0258" w14:textId="77777777" w:rsidR="0009477D" w:rsidRPr="0009477D" w:rsidRDefault="0009477D" w:rsidP="0009477D">
      <w:pPr>
        <w:rPr>
          <w:rFonts w:ascii="Century Gothic" w:hAnsi="Century Gothic" w:cstheme="minorHAnsi"/>
          <w:sz w:val="22"/>
          <w:szCs w:val="22"/>
        </w:rPr>
      </w:pPr>
    </w:p>
    <w:p w14:paraId="36D203F3" w14:textId="4516FA8E" w:rsidR="00A05560" w:rsidRDefault="0009477D" w:rsidP="0009477D">
      <w:pPr>
        <w:rPr>
          <w:rFonts w:ascii="Century Gothic" w:hAnsi="Century Gothic" w:cstheme="minorHAnsi"/>
          <w:sz w:val="22"/>
          <w:szCs w:val="22"/>
        </w:rPr>
        <w:sectPr w:rsidR="00A05560" w:rsidSect="0009477D">
          <w:headerReference w:type="default" r:id="rId11"/>
          <w:footerReference w:type="default" r:id="rId12"/>
          <w:type w:val="continuous"/>
          <w:pgSz w:w="11906" w:h="16838"/>
          <w:pgMar w:top="1440" w:right="1440" w:bottom="1440" w:left="1440" w:header="708" w:footer="708" w:gutter="0"/>
          <w:cols w:space="708"/>
          <w:docGrid w:linePitch="360"/>
        </w:sectPr>
      </w:pPr>
      <w:r w:rsidRPr="0009477D">
        <w:rPr>
          <w:rFonts w:ascii="Century Gothic" w:hAnsi="Century Gothic" w:cstheme="minorHAnsi"/>
          <w:sz w:val="22"/>
          <w:szCs w:val="22"/>
        </w:rPr>
        <w:t>Section 2 presents a short summary of these benefits which are presented below representing four domains of the health system in South Australia</w:t>
      </w:r>
    </w:p>
    <w:p w14:paraId="1EB72E4E" w14:textId="1DC5C9D1" w:rsidR="0015609A" w:rsidRDefault="001B191C" w:rsidP="0009477D">
      <w:pPr>
        <w:rPr>
          <w:rFonts w:ascii="Century Gothic" w:hAnsi="Century Gothic" w:cstheme="minorHAnsi"/>
          <w:sz w:val="22"/>
          <w:szCs w:val="22"/>
        </w:rPr>
      </w:pPr>
      <w:r>
        <w:rPr>
          <w:rFonts w:ascii="Century Gothic" w:hAnsi="Century Gothic" w:cstheme="minorHAnsi"/>
          <w:noProof/>
          <w:sz w:val="22"/>
          <w:szCs w:val="22"/>
        </w:rPr>
        <w:lastRenderedPageBreak/>
        <w:drawing>
          <wp:anchor distT="0" distB="0" distL="114300" distR="114300" simplePos="0" relativeHeight="251662336" behindDoc="0" locked="0" layoutInCell="1" allowOverlap="1" wp14:anchorId="1A7F4EC8" wp14:editId="6FF04108">
            <wp:simplePos x="0" y="0"/>
            <wp:positionH relativeFrom="column">
              <wp:posOffset>-285750</wp:posOffset>
            </wp:positionH>
            <wp:positionV relativeFrom="margin">
              <wp:posOffset>-1437640</wp:posOffset>
            </wp:positionV>
            <wp:extent cx="9371330" cy="6628765"/>
            <wp:effectExtent l="0" t="0" r="127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1330" cy="6628765"/>
                    </a:xfrm>
                    <a:prstGeom prst="rect">
                      <a:avLst/>
                    </a:prstGeom>
                    <a:noFill/>
                  </pic:spPr>
                </pic:pic>
              </a:graphicData>
            </a:graphic>
          </wp:anchor>
        </w:drawing>
      </w:r>
    </w:p>
    <w:p w14:paraId="31EE5952" w14:textId="77777777" w:rsidR="00A05560" w:rsidRDefault="00A05560" w:rsidP="0009477D">
      <w:pPr>
        <w:rPr>
          <w:rFonts w:ascii="Century Gothic" w:hAnsi="Century Gothic" w:cstheme="minorHAnsi"/>
          <w:sz w:val="22"/>
          <w:szCs w:val="22"/>
        </w:rPr>
        <w:sectPr w:rsidR="00A05560" w:rsidSect="005A6841">
          <w:headerReference w:type="default" r:id="rId14"/>
          <w:pgSz w:w="16838" w:h="11906" w:orient="landscape"/>
          <w:pgMar w:top="1440" w:right="1440" w:bottom="1440" w:left="1440" w:header="709" w:footer="709" w:gutter="0"/>
          <w:cols w:space="708"/>
          <w:docGrid w:linePitch="360"/>
        </w:sectPr>
      </w:pPr>
    </w:p>
    <w:p w14:paraId="77976CFD" w14:textId="007E20BA" w:rsidR="0009477D" w:rsidRDefault="0009477D" w:rsidP="0009477D">
      <w:pPr>
        <w:rPr>
          <w:rFonts w:ascii="Century Gothic" w:hAnsi="Century Gothic" w:cstheme="minorHAnsi"/>
          <w:b/>
          <w:bCs/>
          <w:color w:val="C00000"/>
          <w:sz w:val="22"/>
          <w:szCs w:val="22"/>
        </w:rPr>
      </w:pPr>
      <w:r w:rsidRPr="0009477D">
        <w:rPr>
          <w:rFonts w:ascii="Century Gothic" w:hAnsi="Century Gothic" w:cstheme="minorHAnsi"/>
          <w:b/>
          <w:bCs/>
          <w:color w:val="C00000"/>
          <w:sz w:val="22"/>
          <w:szCs w:val="22"/>
        </w:rPr>
        <w:lastRenderedPageBreak/>
        <w:t>Evidence for the benefits of a health information exchange</w:t>
      </w:r>
    </w:p>
    <w:p w14:paraId="073D206C" w14:textId="77777777" w:rsidR="0009477D" w:rsidRPr="0009477D" w:rsidRDefault="0009477D" w:rsidP="0009477D">
      <w:pPr>
        <w:rPr>
          <w:rFonts w:ascii="Century Gothic" w:hAnsi="Century Gothic" w:cstheme="minorHAnsi"/>
          <w:sz w:val="22"/>
          <w:szCs w:val="22"/>
        </w:rPr>
      </w:pPr>
      <w:r w:rsidRPr="0009477D">
        <w:rPr>
          <w:rFonts w:ascii="Century Gothic" w:hAnsi="Century Gothic" w:cstheme="minorHAnsi"/>
          <w:sz w:val="22"/>
          <w:szCs w:val="22"/>
        </w:rPr>
        <w:t xml:space="preserve">Much of the evidence of value for health information exchange comes from countries such as the USA and Israel that have had health information exchanges in place for many years. </w:t>
      </w:r>
      <w:r w:rsidRPr="0009477D">
        <w:rPr>
          <w:rStyle w:val="normaltextrun"/>
          <w:rFonts w:ascii="Century Gothic" w:eastAsiaTheme="majorEastAsia" w:hAnsi="Century Gothic" w:cstheme="minorHAnsi"/>
          <w:sz w:val="22"/>
          <w:szCs w:val="22"/>
          <w:lang w:val="en-US"/>
        </w:rPr>
        <w:t>M</w:t>
      </w:r>
      <w:r w:rsidRPr="0009477D">
        <w:rPr>
          <w:rStyle w:val="normaltextrun"/>
          <w:rFonts w:ascii="Century Gothic" w:hAnsi="Century Gothic" w:cstheme="minorHAnsi"/>
          <w:sz w:val="22"/>
          <w:szCs w:val="22"/>
          <w:lang w:val="en-US"/>
        </w:rPr>
        <w:t>any comparable health systems are putting in place such systems to bridge the gaps between disparate parts of the health system and delivery better quality, integrated care. The most mature have had them in place for more than two decades.</w:t>
      </w:r>
    </w:p>
    <w:p w14:paraId="4F11821C" w14:textId="77777777" w:rsidR="0009477D" w:rsidRPr="0009477D" w:rsidRDefault="0009477D" w:rsidP="0009477D">
      <w:pPr>
        <w:pStyle w:val="paragraph"/>
        <w:spacing w:before="0" w:beforeAutospacing="0" w:after="0" w:afterAutospacing="0"/>
        <w:textAlignment w:val="baseline"/>
        <w:rPr>
          <w:rStyle w:val="normaltextrun"/>
          <w:rFonts w:ascii="Century Gothic" w:eastAsiaTheme="majorEastAsia" w:hAnsi="Century Gothic" w:cstheme="minorHAnsi"/>
          <w:color w:val="C00000"/>
          <w:sz w:val="22"/>
          <w:szCs w:val="22"/>
          <w:lang w:val="en-US"/>
        </w:rPr>
      </w:pPr>
    </w:p>
    <w:p w14:paraId="6DB952D2" w14:textId="77777777" w:rsidR="0009477D" w:rsidRPr="0009477D" w:rsidRDefault="0009477D" w:rsidP="0009477D">
      <w:pPr>
        <w:rPr>
          <w:rFonts w:ascii="Century Gothic" w:hAnsi="Century Gothic" w:cstheme="minorHAnsi"/>
          <w:sz w:val="22"/>
          <w:szCs w:val="22"/>
        </w:rPr>
      </w:pPr>
      <w:r w:rsidRPr="0009477D">
        <w:rPr>
          <w:rFonts w:ascii="Century Gothic" w:hAnsi="Century Gothic" w:cstheme="minorHAnsi"/>
          <w:sz w:val="22"/>
          <w:szCs w:val="22"/>
          <w:lang w:val="en-US"/>
        </w:rPr>
        <w:t>The benefits of a health information exchange are far-reaching and increasingly described in the literature. They include:</w:t>
      </w:r>
    </w:p>
    <w:p w14:paraId="79AB3CA5" w14:textId="77777777" w:rsidR="0009477D" w:rsidRPr="0009477D" w:rsidRDefault="0009477D" w:rsidP="0009477D">
      <w:pPr>
        <w:numPr>
          <w:ilvl w:val="0"/>
          <w:numId w:val="5"/>
        </w:numPr>
        <w:rPr>
          <w:rFonts w:ascii="Century Gothic" w:hAnsi="Century Gothic" w:cstheme="minorHAnsi"/>
          <w:sz w:val="22"/>
          <w:szCs w:val="22"/>
        </w:rPr>
      </w:pPr>
      <w:r w:rsidRPr="0009477D">
        <w:rPr>
          <w:rFonts w:ascii="Century Gothic" w:hAnsi="Century Gothic" w:cstheme="minorHAnsi"/>
          <w:sz w:val="22"/>
          <w:szCs w:val="22"/>
          <w:lang w:val="en-US"/>
        </w:rPr>
        <w:t xml:space="preserve">Improved safety and quality of care through real time medications information (Nahm et al 2020; Sakar 2022; </w:t>
      </w:r>
      <w:proofErr w:type="spellStart"/>
      <w:r w:rsidRPr="0009477D">
        <w:rPr>
          <w:rFonts w:ascii="Century Gothic" w:hAnsi="Century Gothic" w:cstheme="minorHAnsi"/>
          <w:sz w:val="22"/>
          <w:szCs w:val="22"/>
          <w:lang w:val="en-US"/>
        </w:rPr>
        <w:t>Schoenbaum</w:t>
      </w:r>
      <w:proofErr w:type="spellEnd"/>
      <w:r w:rsidRPr="0009477D">
        <w:rPr>
          <w:rFonts w:ascii="Century Gothic" w:hAnsi="Century Gothic" w:cstheme="minorHAnsi"/>
          <w:sz w:val="22"/>
          <w:szCs w:val="22"/>
          <w:lang w:val="en-US"/>
        </w:rPr>
        <w:t xml:space="preserve"> &amp; </w:t>
      </w:r>
      <w:proofErr w:type="spellStart"/>
      <w:r w:rsidRPr="0009477D">
        <w:rPr>
          <w:rFonts w:ascii="Century Gothic" w:hAnsi="Century Gothic" w:cstheme="minorHAnsi"/>
          <w:sz w:val="22"/>
          <w:szCs w:val="22"/>
          <w:lang w:val="en-US"/>
        </w:rPr>
        <w:t>Seckman</w:t>
      </w:r>
      <w:proofErr w:type="spellEnd"/>
      <w:r w:rsidRPr="0009477D">
        <w:rPr>
          <w:rFonts w:ascii="Century Gothic" w:hAnsi="Century Gothic" w:cstheme="minorHAnsi"/>
          <w:sz w:val="22"/>
          <w:szCs w:val="22"/>
          <w:lang w:val="en-US"/>
        </w:rPr>
        <w:t xml:space="preserve"> 2019).</w:t>
      </w:r>
    </w:p>
    <w:p w14:paraId="3942779C" w14:textId="77777777" w:rsidR="0009477D" w:rsidRPr="0009477D" w:rsidRDefault="0009477D" w:rsidP="0009477D">
      <w:pPr>
        <w:numPr>
          <w:ilvl w:val="0"/>
          <w:numId w:val="5"/>
        </w:numPr>
        <w:rPr>
          <w:rFonts w:ascii="Century Gothic" w:hAnsi="Century Gothic" w:cstheme="minorHAnsi"/>
          <w:sz w:val="22"/>
          <w:szCs w:val="22"/>
        </w:rPr>
      </w:pPr>
      <w:r w:rsidRPr="0009477D">
        <w:rPr>
          <w:rFonts w:ascii="Century Gothic" w:hAnsi="Century Gothic" w:cstheme="minorHAnsi"/>
          <w:sz w:val="22"/>
          <w:szCs w:val="22"/>
          <w:lang w:val="en-US"/>
        </w:rPr>
        <w:t>Reduced costs for pathology, imaging, and other investigations due to reduced duplication of ordering (Mahajan, 2016).</w:t>
      </w:r>
    </w:p>
    <w:p w14:paraId="45F36447" w14:textId="77777777" w:rsidR="0009477D" w:rsidRPr="0009477D" w:rsidRDefault="0009477D" w:rsidP="0009477D">
      <w:pPr>
        <w:numPr>
          <w:ilvl w:val="0"/>
          <w:numId w:val="5"/>
        </w:numPr>
        <w:rPr>
          <w:rFonts w:ascii="Century Gothic" w:hAnsi="Century Gothic" w:cstheme="minorHAnsi"/>
          <w:sz w:val="22"/>
          <w:szCs w:val="22"/>
        </w:rPr>
      </w:pPr>
      <w:r w:rsidRPr="0009477D">
        <w:rPr>
          <w:rFonts w:ascii="Century Gothic" w:hAnsi="Century Gothic" w:cstheme="minorHAnsi"/>
          <w:sz w:val="22"/>
          <w:szCs w:val="22"/>
          <w:lang w:val="en-US"/>
        </w:rPr>
        <w:t xml:space="preserve">Improved consumer satisfaction derived from decrease in repeat history telling, improved coordination between acute and primary care providers and greater autonomy and mutuality of health care (HTSA, 2020; Healthcare Israel, 2020; </w:t>
      </w:r>
      <w:r w:rsidRPr="0009477D">
        <w:rPr>
          <w:rFonts w:ascii="Century Gothic" w:hAnsi="Century Gothic" w:cstheme="minorHAnsi"/>
          <w:sz w:val="22"/>
          <w:szCs w:val="22"/>
          <w:lang w:val="en-GB"/>
        </w:rPr>
        <w:t>Holmgren &amp; Adler-Milstein, 2017</w:t>
      </w:r>
      <w:r w:rsidRPr="0009477D">
        <w:rPr>
          <w:rFonts w:ascii="Century Gothic" w:hAnsi="Century Gothic" w:cstheme="minorHAnsi"/>
          <w:sz w:val="22"/>
          <w:szCs w:val="22"/>
          <w:lang w:val="en-US"/>
        </w:rPr>
        <w:t>).</w:t>
      </w:r>
    </w:p>
    <w:p w14:paraId="255AD202" w14:textId="77777777" w:rsidR="0009477D" w:rsidRPr="0009477D" w:rsidRDefault="0009477D" w:rsidP="0009477D">
      <w:pPr>
        <w:numPr>
          <w:ilvl w:val="0"/>
          <w:numId w:val="5"/>
        </w:numPr>
        <w:rPr>
          <w:rFonts w:ascii="Century Gothic" w:hAnsi="Century Gothic" w:cstheme="minorHAnsi"/>
          <w:sz w:val="22"/>
          <w:szCs w:val="22"/>
        </w:rPr>
      </w:pPr>
      <w:r w:rsidRPr="0009477D">
        <w:rPr>
          <w:rFonts w:ascii="Century Gothic" w:hAnsi="Century Gothic" w:cstheme="minorHAnsi"/>
          <w:sz w:val="22"/>
          <w:szCs w:val="22"/>
          <w:lang w:val="en-US"/>
        </w:rPr>
        <w:t>Improved service planning and other population-based health care interventions once data can be aggregated and made available for health researchers (Yeung 2019).</w:t>
      </w:r>
    </w:p>
    <w:p w14:paraId="283764E1" w14:textId="77777777" w:rsidR="0009477D" w:rsidRPr="0009477D" w:rsidRDefault="0009477D" w:rsidP="0009477D">
      <w:pPr>
        <w:numPr>
          <w:ilvl w:val="0"/>
          <w:numId w:val="5"/>
        </w:numPr>
        <w:rPr>
          <w:rFonts w:ascii="Century Gothic" w:hAnsi="Century Gothic" w:cstheme="minorHAnsi"/>
          <w:sz w:val="22"/>
          <w:szCs w:val="22"/>
        </w:rPr>
      </w:pPr>
      <w:r w:rsidRPr="0009477D">
        <w:rPr>
          <w:rFonts w:ascii="Century Gothic" w:hAnsi="Century Gothic" w:cstheme="minorHAnsi"/>
          <w:sz w:val="22"/>
          <w:szCs w:val="22"/>
          <w:lang w:val="en-US"/>
        </w:rPr>
        <w:t>Specific improvements such as reduced readmissions, greater delivery of chronic disease monitoring and early intervention for potentially preventable diseases (Nahm et al, 2020; Sakar 2020; Vest et al 2019).</w:t>
      </w:r>
    </w:p>
    <w:p w14:paraId="7025D085" w14:textId="77777777" w:rsidR="0009477D" w:rsidRPr="0009477D" w:rsidRDefault="0009477D" w:rsidP="0009477D">
      <w:pPr>
        <w:numPr>
          <w:ilvl w:val="0"/>
          <w:numId w:val="5"/>
        </w:numPr>
        <w:rPr>
          <w:rFonts w:ascii="Century Gothic" w:hAnsi="Century Gothic" w:cstheme="minorHAnsi"/>
          <w:sz w:val="22"/>
          <w:szCs w:val="22"/>
        </w:rPr>
      </w:pPr>
      <w:r w:rsidRPr="0009477D">
        <w:rPr>
          <w:rFonts w:ascii="Century Gothic" w:hAnsi="Century Gothic" w:cstheme="minorHAnsi"/>
          <w:sz w:val="22"/>
          <w:szCs w:val="22"/>
          <w:lang w:val="en-US"/>
        </w:rPr>
        <w:t>Key enabler for the delivery of virtual care models, particularly those that involved multiagency input where the health information exchange becomes the common platform for recording patient data (HTSA, 2020; Sakar 2022).</w:t>
      </w:r>
      <w:r w:rsidRPr="0009477D">
        <w:rPr>
          <w:rFonts w:ascii="Century Gothic" w:hAnsi="Century Gothic" w:cstheme="minorHAnsi"/>
          <w:sz w:val="22"/>
          <w:szCs w:val="22"/>
        </w:rPr>
        <w:t> </w:t>
      </w:r>
    </w:p>
    <w:p w14:paraId="75BD74C6" w14:textId="77777777" w:rsidR="0009477D" w:rsidRPr="0009477D" w:rsidRDefault="0009477D" w:rsidP="0009477D">
      <w:pPr>
        <w:rPr>
          <w:rFonts w:ascii="Century Gothic" w:hAnsi="Century Gothic" w:cstheme="minorHAnsi"/>
          <w:sz w:val="22"/>
          <w:szCs w:val="22"/>
        </w:rPr>
      </w:pPr>
    </w:p>
    <w:p w14:paraId="0035D6E1" w14:textId="77777777" w:rsidR="0009477D" w:rsidRPr="0009477D" w:rsidRDefault="0009477D" w:rsidP="0009477D">
      <w:pPr>
        <w:rPr>
          <w:rFonts w:ascii="Century Gothic" w:hAnsi="Century Gothic" w:cstheme="minorHAnsi"/>
          <w:sz w:val="22"/>
          <w:szCs w:val="22"/>
        </w:rPr>
      </w:pPr>
      <w:r w:rsidRPr="0009477D">
        <w:rPr>
          <w:rFonts w:ascii="Century Gothic" w:hAnsi="Century Gothic" w:cstheme="minorHAnsi"/>
          <w:sz w:val="22"/>
          <w:szCs w:val="22"/>
        </w:rPr>
        <w:t>In a 2022 review article on the value that health information exchange brings to health services, Sakar (2022) highlighted seven main areas that more than 200 studies had indicated strong benefit for health information exchange.  These were:</w:t>
      </w:r>
    </w:p>
    <w:p w14:paraId="2C812E76" w14:textId="77777777" w:rsidR="0009477D" w:rsidRPr="0009477D" w:rsidRDefault="0009477D" w:rsidP="0009477D">
      <w:pPr>
        <w:pStyle w:val="ListParagraph"/>
        <w:numPr>
          <w:ilvl w:val="0"/>
          <w:numId w:val="6"/>
        </w:numPr>
        <w:rPr>
          <w:rFonts w:cstheme="minorHAnsi"/>
          <w:sz w:val="22"/>
          <w:szCs w:val="22"/>
        </w:rPr>
      </w:pPr>
      <w:r w:rsidRPr="0009477D">
        <w:rPr>
          <w:rFonts w:cstheme="minorHAnsi"/>
          <w:b/>
          <w:bCs/>
          <w:sz w:val="22"/>
          <w:szCs w:val="22"/>
        </w:rPr>
        <w:t>Information Dissemination</w:t>
      </w:r>
      <w:r w:rsidRPr="0009477D">
        <w:rPr>
          <w:rFonts w:cstheme="minorHAnsi"/>
          <w:sz w:val="22"/>
          <w:szCs w:val="22"/>
        </w:rPr>
        <w:t>: this is a core function of health information exchange and has been shown to improve continuity of care, service transitions and patient experience.</w:t>
      </w:r>
    </w:p>
    <w:p w14:paraId="72E02B99" w14:textId="27B64D20" w:rsidR="0009477D" w:rsidRPr="0009477D" w:rsidRDefault="0009477D" w:rsidP="0009477D">
      <w:pPr>
        <w:pStyle w:val="ListParagraph"/>
        <w:numPr>
          <w:ilvl w:val="0"/>
          <w:numId w:val="6"/>
        </w:numPr>
        <w:rPr>
          <w:rFonts w:cstheme="minorHAnsi"/>
          <w:sz w:val="22"/>
          <w:szCs w:val="22"/>
        </w:rPr>
      </w:pPr>
      <w:r w:rsidRPr="0009477D">
        <w:rPr>
          <w:rFonts w:cstheme="minorHAnsi"/>
          <w:b/>
          <w:bCs/>
          <w:sz w:val="22"/>
          <w:szCs w:val="22"/>
        </w:rPr>
        <w:t>Delivery of Health Care</w:t>
      </w:r>
      <w:r w:rsidRPr="0009477D">
        <w:rPr>
          <w:rFonts w:cstheme="minorHAnsi"/>
          <w:sz w:val="22"/>
          <w:szCs w:val="22"/>
        </w:rPr>
        <w:t xml:space="preserve">: benefits </w:t>
      </w:r>
      <w:r w:rsidR="00D7401B">
        <w:rPr>
          <w:rFonts w:cstheme="minorHAnsi"/>
          <w:sz w:val="22"/>
          <w:szCs w:val="22"/>
        </w:rPr>
        <w:t>here relate</w:t>
      </w:r>
      <w:r w:rsidRPr="0009477D">
        <w:rPr>
          <w:rFonts w:cstheme="minorHAnsi"/>
          <w:sz w:val="22"/>
          <w:szCs w:val="22"/>
        </w:rPr>
        <w:t xml:space="preserve"> to availability of a more comprehensive picture of the patient (such as full medications or social history), the aggregations of health care information at a population level to support system planning and the broad benefit of putting in place a solution to lack of interoperability between the myriad of agencies delivering health care in any system or geographic location. </w:t>
      </w:r>
    </w:p>
    <w:p w14:paraId="1CF586CB" w14:textId="77777777" w:rsidR="0009477D" w:rsidRPr="0009477D" w:rsidRDefault="0009477D" w:rsidP="0009477D">
      <w:pPr>
        <w:pStyle w:val="ListParagraph"/>
        <w:numPr>
          <w:ilvl w:val="0"/>
          <w:numId w:val="6"/>
        </w:numPr>
        <w:rPr>
          <w:rFonts w:cstheme="minorHAnsi"/>
          <w:sz w:val="22"/>
          <w:szCs w:val="22"/>
        </w:rPr>
      </w:pPr>
      <w:r w:rsidRPr="0009477D">
        <w:rPr>
          <w:rFonts w:cstheme="minorHAnsi"/>
          <w:b/>
          <w:bCs/>
          <w:sz w:val="22"/>
          <w:szCs w:val="22"/>
        </w:rPr>
        <w:t>Hospitals</w:t>
      </w:r>
      <w:r w:rsidRPr="0009477D">
        <w:rPr>
          <w:rFonts w:cstheme="minorHAnsi"/>
          <w:sz w:val="22"/>
          <w:szCs w:val="22"/>
        </w:rPr>
        <w:t xml:space="preserve">: key benefits specifically aligned to hospital care include a reduced admission rate, clinical benefit from the sharing of diagnostic data (pathology and imaging) and improved continuity of care between primary care, outpatient care and inpatient care. Overall efficiency savings (reduced costs) have also been described for hospitals operating </w:t>
      </w:r>
      <w:r w:rsidRPr="0009477D">
        <w:rPr>
          <w:rFonts w:cstheme="minorHAnsi"/>
          <w:sz w:val="22"/>
          <w:szCs w:val="22"/>
        </w:rPr>
        <w:lastRenderedPageBreak/>
        <w:t xml:space="preserve">within a health information exchange system as well as opening opportunities for advanced analytics to drive clinical decision-making. </w:t>
      </w:r>
    </w:p>
    <w:p w14:paraId="1240D71E" w14:textId="77777777" w:rsidR="0009477D" w:rsidRPr="0009477D" w:rsidRDefault="0009477D" w:rsidP="0009477D">
      <w:pPr>
        <w:pStyle w:val="ListParagraph"/>
        <w:numPr>
          <w:ilvl w:val="0"/>
          <w:numId w:val="6"/>
        </w:numPr>
        <w:rPr>
          <w:rFonts w:cstheme="minorHAnsi"/>
          <w:sz w:val="22"/>
          <w:szCs w:val="22"/>
        </w:rPr>
      </w:pPr>
      <w:r w:rsidRPr="0009477D">
        <w:rPr>
          <w:rFonts w:cstheme="minorHAnsi"/>
          <w:b/>
          <w:bCs/>
          <w:sz w:val="22"/>
          <w:szCs w:val="22"/>
        </w:rPr>
        <w:t>Hospital Emergency Services</w:t>
      </w:r>
      <w:r w:rsidRPr="0009477D">
        <w:rPr>
          <w:rFonts w:cstheme="minorHAnsi"/>
          <w:sz w:val="22"/>
          <w:szCs w:val="22"/>
        </w:rPr>
        <w:t xml:space="preserve">: These services are worth mentioned specifically due to the potential positive clinical impact a well-designed health information exchange can make to clinical care and patient safety. </w:t>
      </w:r>
      <w:r w:rsidRPr="0009477D">
        <w:rPr>
          <w:rFonts w:cstheme="minorHAnsi"/>
          <w:sz w:val="22"/>
          <w:szCs w:val="22"/>
          <w:lang w:val="en-GB"/>
        </w:rPr>
        <w:t xml:space="preserve">Health information exchange can be a major source for studying service utilization, causes for return visits, and the impact of social determinants of health on ED visits. In these settings access to accurate medication information can be critical to rapid and accurate assessment and a broader view on social history and background can improve care coordination and flow through departments. </w:t>
      </w:r>
    </w:p>
    <w:p w14:paraId="5C89444E" w14:textId="16EEEE76" w:rsidR="0009477D" w:rsidRPr="0009477D" w:rsidRDefault="0009477D" w:rsidP="0009477D">
      <w:pPr>
        <w:pStyle w:val="ListParagraph"/>
        <w:numPr>
          <w:ilvl w:val="0"/>
          <w:numId w:val="6"/>
        </w:numPr>
        <w:rPr>
          <w:rFonts w:cstheme="minorHAnsi"/>
          <w:sz w:val="22"/>
          <w:szCs w:val="22"/>
        </w:rPr>
      </w:pPr>
      <w:r w:rsidRPr="0009477D">
        <w:rPr>
          <w:rFonts w:cstheme="minorHAnsi"/>
          <w:b/>
          <w:bCs/>
          <w:sz w:val="22"/>
          <w:szCs w:val="22"/>
        </w:rPr>
        <w:t>COVID19</w:t>
      </w:r>
      <w:r w:rsidRPr="0009477D">
        <w:rPr>
          <w:rFonts w:cstheme="minorHAnsi"/>
          <w:sz w:val="22"/>
          <w:szCs w:val="22"/>
        </w:rPr>
        <w:t xml:space="preserve">: Pandemic responses, such as those for COVID19, were greatly assisted by health information exchange to enable the matching of hospital, primary </w:t>
      </w:r>
      <w:r w:rsidR="000E15DC" w:rsidRPr="0009477D">
        <w:rPr>
          <w:rFonts w:cstheme="minorHAnsi"/>
          <w:sz w:val="22"/>
          <w:szCs w:val="22"/>
        </w:rPr>
        <w:t>care,</w:t>
      </w:r>
      <w:r w:rsidRPr="0009477D">
        <w:rPr>
          <w:rFonts w:cstheme="minorHAnsi"/>
          <w:sz w:val="22"/>
          <w:szCs w:val="22"/>
        </w:rPr>
        <w:t xml:space="preserve"> and public health data sets and to support accurate reporting and prediction. Where health information exchanges also had a patient portal function, this </w:t>
      </w:r>
      <w:r w:rsidR="000E15DC" w:rsidRPr="0009477D">
        <w:rPr>
          <w:rFonts w:cstheme="minorHAnsi"/>
          <w:sz w:val="22"/>
          <w:szCs w:val="22"/>
        </w:rPr>
        <w:t>enable</w:t>
      </w:r>
      <w:r w:rsidR="00C17C0E">
        <w:rPr>
          <w:rFonts w:cstheme="minorHAnsi"/>
          <w:sz w:val="22"/>
          <w:szCs w:val="22"/>
        </w:rPr>
        <w:t>d</w:t>
      </w:r>
      <w:r w:rsidRPr="0009477D">
        <w:rPr>
          <w:rFonts w:cstheme="minorHAnsi"/>
          <w:sz w:val="22"/>
          <w:szCs w:val="22"/>
        </w:rPr>
        <w:t xml:space="preserve"> rapid dissemination of health information and overall improved health outcomes. The lack of effective information sharing between residential aged care was particularly noted as problematic. </w:t>
      </w:r>
    </w:p>
    <w:p w14:paraId="190E5D33" w14:textId="77777777" w:rsidR="0009477D" w:rsidRPr="0009477D" w:rsidRDefault="0009477D" w:rsidP="0009477D">
      <w:pPr>
        <w:pStyle w:val="ListParagraph"/>
        <w:numPr>
          <w:ilvl w:val="0"/>
          <w:numId w:val="6"/>
        </w:numPr>
        <w:rPr>
          <w:rFonts w:cstheme="minorHAnsi"/>
          <w:sz w:val="22"/>
          <w:szCs w:val="22"/>
        </w:rPr>
      </w:pPr>
      <w:r w:rsidRPr="0009477D">
        <w:rPr>
          <w:rFonts w:cstheme="minorHAnsi"/>
          <w:b/>
          <w:bCs/>
          <w:sz w:val="22"/>
          <w:szCs w:val="22"/>
        </w:rPr>
        <w:t>Health Disparities</w:t>
      </w:r>
      <w:r w:rsidRPr="0009477D">
        <w:rPr>
          <w:rFonts w:cstheme="minorHAnsi"/>
          <w:sz w:val="22"/>
          <w:szCs w:val="22"/>
        </w:rPr>
        <w:t xml:space="preserve">: </w:t>
      </w:r>
      <w:r w:rsidRPr="0009477D">
        <w:rPr>
          <w:rFonts w:cstheme="minorHAnsi"/>
          <w:sz w:val="22"/>
          <w:szCs w:val="22"/>
          <w:lang w:val="en-GB"/>
        </w:rPr>
        <w:t>Health information exchange provides the opportunity for unbiased exchange of health data and knowledge to support population health. When combined with patient portals, this can have a significant impact on population health outcomes</w:t>
      </w:r>
      <w:r w:rsidRPr="0009477D">
        <w:rPr>
          <w:rFonts w:cstheme="minorHAnsi"/>
          <w:sz w:val="22"/>
          <w:szCs w:val="22"/>
        </w:rPr>
        <w:t xml:space="preserve">. Challenges were noted with rural and indigenous populations where access to digital technologies may be inequitable to begin with. </w:t>
      </w:r>
    </w:p>
    <w:p w14:paraId="571A207A" w14:textId="77777777" w:rsidR="0009477D" w:rsidRPr="0009477D" w:rsidRDefault="0009477D" w:rsidP="0009477D">
      <w:pPr>
        <w:pStyle w:val="ListParagraph"/>
        <w:numPr>
          <w:ilvl w:val="0"/>
          <w:numId w:val="6"/>
        </w:numPr>
        <w:textAlignment w:val="baseline"/>
        <w:rPr>
          <w:rFonts w:cstheme="minorHAnsi"/>
          <w:sz w:val="22"/>
          <w:szCs w:val="22"/>
        </w:rPr>
      </w:pPr>
      <w:r w:rsidRPr="0009477D">
        <w:rPr>
          <w:rFonts w:cstheme="minorHAnsi"/>
          <w:b/>
          <w:bCs/>
          <w:sz w:val="22"/>
          <w:szCs w:val="22"/>
        </w:rPr>
        <w:t>Computer Security &amp; Confidentiality</w:t>
      </w:r>
      <w:r w:rsidRPr="0009477D">
        <w:rPr>
          <w:rFonts w:cstheme="minorHAnsi"/>
          <w:sz w:val="22"/>
          <w:szCs w:val="22"/>
        </w:rPr>
        <w:t>: Key issues raised here include establishing a core principle of securely stored or exchanged information to protect privacy and maintain confidentiality. The critical role of local and national legislation is raised as it the use of new technologies such as blockchain and FHIR.</w:t>
      </w:r>
    </w:p>
    <w:p w14:paraId="205CD5F1" w14:textId="77777777" w:rsidR="0009477D" w:rsidRPr="0009477D" w:rsidRDefault="0009477D" w:rsidP="0009477D">
      <w:pPr>
        <w:pStyle w:val="ListParagraph"/>
        <w:ind w:left="1080"/>
        <w:textAlignment w:val="baseline"/>
        <w:rPr>
          <w:rFonts w:cstheme="minorHAnsi"/>
          <w:sz w:val="22"/>
          <w:szCs w:val="22"/>
        </w:rPr>
      </w:pPr>
    </w:p>
    <w:p w14:paraId="24884E6D" w14:textId="77777777" w:rsidR="0009477D" w:rsidRPr="0009477D" w:rsidRDefault="0009477D" w:rsidP="0009477D">
      <w:pPr>
        <w:rPr>
          <w:rFonts w:ascii="Century Gothic" w:hAnsi="Century Gothic" w:cstheme="minorHAnsi"/>
          <w:b/>
          <w:bCs/>
          <w:color w:val="C00000"/>
          <w:sz w:val="22"/>
          <w:szCs w:val="22"/>
        </w:rPr>
      </w:pPr>
      <w:r w:rsidRPr="0009477D">
        <w:rPr>
          <w:rFonts w:ascii="Century Gothic" w:hAnsi="Century Gothic" w:cstheme="minorHAnsi"/>
          <w:b/>
          <w:bCs/>
          <w:color w:val="C00000"/>
          <w:sz w:val="22"/>
          <w:szCs w:val="22"/>
        </w:rPr>
        <w:t xml:space="preserve">Towards a solution  </w:t>
      </w:r>
    </w:p>
    <w:p w14:paraId="1C357734" w14:textId="77777777" w:rsidR="0009477D" w:rsidRPr="0009477D" w:rsidRDefault="0009477D" w:rsidP="0009477D">
      <w:pPr>
        <w:rPr>
          <w:rFonts w:ascii="Century Gothic" w:hAnsi="Century Gothic" w:cstheme="minorHAnsi"/>
          <w:sz w:val="22"/>
          <w:szCs w:val="22"/>
        </w:rPr>
      </w:pPr>
      <w:r w:rsidRPr="0009477D">
        <w:rPr>
          <w:rFonts w:ascii="Century Gothic" w:hAnsi="Century Gothic" w:cstheme="minorHAnsi"/>
          <w:sz w:val="22"/>
          <w:szCs w:val="22"/>
        </w:rPr>
        <w:t>The Connected Care project has worked with primary care clinicians, hospital clinicians and consumers to identify and document the user requirements of a HIE for South Australia. The technical and business requirements to achieve the user requirements have also been drafted in partnership with Digital Health SA.</w:t>
      </w:r>
    </w:p>
    <w:p w14:paraId="4A2AC3EE" w14:textId="77777777" w:rsidR="0009477D" w:rsidRPr="0009477D" w:rsidRDefault="0009477D" w:rsidP="0009477D">
      <w:pPr>
        <w:rPr>
          <w:rFonts w:ascii="Century Gothic" w:hAnsi="Century Gothic" w:cstheme="minorHAnsi"/>
          <w:sz w:val="22"/>
          <w:szCs w:val="22"/>
        </w:rPr>
      </w:pPr>
    </w:p>
    <w:p w14:paraId="2B567707" w14:textId="63F7B084" w:rsidR="0009477D" w:rsidRDefault="0009477D" w:rsidP="0009477D">
      <w:pPr>
        <w:rPr>
          <w:rFonts w:ascii="Century Gothic" w:hAnsi="Century Gothic" w:cstheme="minorHAnsi"/>
          <w:sz w:val="22"/>
          <w:szCs w:val="22"/>
        </w:rPr>
      </w:pPr>
      <w:r w:rsidRPr="0009477D">
        <w:rPr>
          <w:rFonts w:ascii="Century Gothic" w:hAnsi="Century Gothic" w:cstheme="minorHAnsi"/>
          <w:sz w:val="22"/>
          <w:szCs w:val="22"/>
        </w:rPr>
        <w:t xml:space="preserve">There are continued advances in technology and the number of commercially available products to support a HIE. </w:t>
      </w:r>
      <w:r w:rsidR="00D7401B">
        <w:rPr>
          <w:rFonts w:ascii="Century Gothic" w:hAnsi="Century Gothic" w:cstheme="minorHAnsi"/>
          <w:sz w:val="22"/>
          <w:szCs w:val="22"/>
        </w:rPr>
        <w:t xml:space="preserve"> </w:t>
      </w:r>
      <w:r w:rsidRPr="0009477D">
        <w:rPr>
          <w:rFonts w:ascii="Century Gothic" w:hAnsi="Century Gothic" w:cstheme="minorHAnsi"/>
          <w:sz w:val="22"/>
          <w:szCs w:val="22"/>
        </w:rPr>
        <w:t xml:space="preserve">Solutions internationally vary between customed designed and off the shelf products. </w:t>
      </w:r>
    </w:p>
    <w:p w14:paraId="2F21158B" w14:textId="77777777" w:rsidR="0009477D" w:rsidRPr="0009477D" w:rsidRDefault="0009477D" w:rsidP="0009477D">
      <w:pPr>
        <w:rPr>
          <w:rFonts w:ascii="Century Gothic" w:hAnsi="Century Gothic" w:cstheme="minorHAnsi"/>
          <w:sz w:val="22"/>
          <w:szCs w:val="22"/>
        </w:rPr>
      </w:pPr>
    </w:p>
    <w:p w14:paraId="234452B5" w14:textId="77777777" w:rsidR="0009477D" w:rsidRPr="0009477D" w:rsidRDefault="0009477D" w:rsidP="0009477D">
      <w:pPr>
        <w:pStyle w:val="paragraph"/>
        <w:spacing w:before="0" w:beforeAutospacing="0" w:after="0" w:afterAutospacing="0"/>
        <w:textAlignment w:val="baseline"/>
        <w:rPr>
          <w:rFonts w:ascii="Century Gothic" w:hAnsi="Century Gothic" w:cstheme="minorHAnsi"/>
          <w:i/>
          <w:iCs/>
          <w:color w:val="2F5496"/>
          <w:sz w:val="22"/>
          <w:szCs w:val="22"/>
        </w:rPr>
      </w:pPr>
      <w:r w:rsidRPr="0009477D">
        <w:rPr>
          <w:rStyle w:val="normaltextrun"/>
          <w:rFonts w:ascii="Century Gothic" w:hAnsi="Century Gothic" w:cstheme="minorHAnsi"/>
          <w:i/>
          <w:iCs/>
          <w:color w:val="C00000"/>
          <w:sz w:val="22"/>
          <w:szCs w:val="22"/>
          <w:lang w:val="en-US"/>
        </w:rPr>
        <w:t>United States</w:t>
      </w:r>
      <w:r w:rsidRPr="0009477D">
        <w:rPr>
          <w:rStyle w:val="eop"/>
          <w:rFonts w:ascii="Century Gothic" w:eastAsiaTheme="majorEastAsia" w:hAnsi="Century Gothic" w:cstheme="minorHAnsi"/>
          <w:i/>
          <w:iCs/>
          <w:color w:val="C00000"/>
          <w:sz w:val="22"/>
          <w:szCs w:val="22"/>
        </w:rPr>
        <w:t> </w:t>
      </w:r>
    </w:p>
    <w:p w14:paraId="0F25C219" w14:textId="77777777" w:rsidR="0009477D" w:rsidRPr="0009477D" w:rsidRDefault="0009477D" w:rsidP="0009477D">
      <w:pPr>
        <w:pStyle w:val="paragraph"/>
        <w:spacing w:before="0" w:beforeAutospacing="0" w:after="0" w:afterAutospacing="0"/>
        <w:textAlignment w:val="baseline"/>
        <w:rPr>
          <w:rStyle w:val="normaltextrun"/>
          <w:rFonts w:ascii="Century Gothic" w:hAnsi="Century Gothic" w:cstheme="minorHAnsi"/>
          <w:sz w:val="22"/>
          <w:szCs w:val="22"/>
          <w:lang w:val="en-US"/>
        </w:rPr>
      </w:pPr>
      <w:r w:rsidRPr="0009477D">
        <w:rPr>
          <w:rStyle w:val="normaltextrun"/>
          <w:rFonts w:ascii="Century Gothic" w:hAnsi="Century Gothic" w:cstheme="minorHAnsi"/>
          <w:sz w:val="22"/>
          <w:szCs w:val="22"/>
          <w:lang w:val="en-US"/>
        </w:rPr>
        <w:t xml:space="preserve">Much of the innovation and development for health information exchange has been driven out of the US since the passing of </w:t>
      </w:r>
      <w:r w:rsidRPr="0009477D">
        <w:rPr>
          <w:rStyle w:val="normaltextrun"/>
          <w:rFonts w:ascii="Century Gothic" w:hAnsi="Century Gothic" w:cstheme="minorHAnsi"/>
          <w:sz w:val="22"/>
          <w:szCs w:val="22"/>
          <w:lang w:val="en-GB"/>
        </w:rPr>
        <w:t>Health Information Technology for Economic and Clinical Health (HITECH) Act of 2009</w:t>
      </w:r>
      <w:r w:rsidRPr="0009477D">
        <w:rPr>
          <w:rStyle w:val="normaltextrun"/>
          <w:rFonts w:ascii="Century Gothic" w:hAnsi="Century Gothic" w:cstheme="minorHAnsi"/>
          <w:sz w:val="22"/>
          <w:szCs w:val="22"/>
          <w:lang w:val="en-US"/>
        </w:rPr>
        <w:t xml:space="preserve">.  For the first time, this legislation </w:t>
      </w:r>
      <w:r w:rsidRPr="0009477D">
        <w:rPr>
          <w:rStyle w:val="normaltextrun"/>
          <w:rFonts w:ascii="Century Gothic" w:hAnsi="Century Gothic" w:cstheme="minorHAnsi"/>
          <w:sz w:val="22"/>
          <w:szCs w:val="22"/>
          <w:lang w:val="en-US"/>
        </w:rPr>
        <w:lastRenderedPageBreak/>
        <w:t xml:space="preserve">provided data standards and a requirement for providers receiving funding from the Federal Government to comply with data sharing and governance standards.  This has seen a proliferation of ways of delivering health information exchange with models including state-based hosting, independent not-for-profit organisations or other hybrid models for the broker and host of the health information exchange. </w:t>
      </w:r>
    </w:p>
    <w:p w14:paraId="3693F27A" w14:textId="77777777" w:rsidR="0009477D" w:rsidRPr="0009477D" w:rsidRDefault="0009477D" w:rsidP="0009477D">
      <w:pPr>
        <w:pStyle w:val="paragraph"/>
        <w:spacing w:before="0" w:beforeAutospacing="0" w:after="0" w:afterAutospacing="0"/>
        <w:textAlignment w:val="baseline"/>
        <w:rPr>
          <w:rStyle w:val="normaltextrun"/>
          <w:rFonts w:ascii="Century Gothic" w:hAnsi="Century Gothic" w:cstheme="minorHAnsi"/>
          <w:sz w:val="22"/>
          <w:szCs w:val="22"/>
          <w:lang w:val="en-US"/>
        </w:rPr>
      </w:pPr>
    </w:p>
    <w:p w14:paraId="64CA1167" w14:textId="77777777" w:rsidR="0009477D" w:rsidRPr="0009477D" w:rsidRDefault="0009477D" w:rsidP="0009477D">
      <w:pPr>
        <w:pStyle w:val="paragraph"/>
        <w:spacing w:before="0" w:beforeAutospacing="0" w:after="0" w:afterAutospacing="0"/>
        <w:textAlignment w:val="baseline"/>
        <w:rPr>
          <w:rFonts w:ascii="Century Gothic" w:hAnsi="Century Gothic" w:cstheme="minorHAnsi"/>
          <w:i/>
          <w:iCs/>
          <w:color w:val="2F5496"/>
          <w:sz w:val="22"/>
          <w:szCs w:val="22"/>
        </w:rPr>
      </w:pPr>
      <w:r w:rsidRPr="0009477D">
        <w:rPr>
          <w:rStyle w:val="normaltextrun"/>
          <w:rFonts w:ascii="Century Gothic" w:hAnsi="Century Gothic" w:cstheme="minorHAnsi"/>
          <w:i/>
          <w:iCs/>
          <w:color w:val="C00000"/>
          <w:sz w:val="22"/>
          <w:szCs w:val="22"/>
          <w:lang w:val="en-US"/>
        </w:rPr>
        <w:t>Europe and the UK</w:t>
      </w:r>
      <w:r w:rsidRPr="0009477D">
        <w:rPr>
          <w:rStyle w:val="eop"/>
          <w:rFonts w:ascii="Century Gothic" w:eastAsiaTheme="majorEastAsia" w:hAnsi="Century Gothic" w:cstheme="minorHAnsi"/>
          <w:i/>
          <w:iCs/>
          <w:color w:val="C00000"/>
          <w:sz w:val="22"/>
          <w:szCs w:val="22"/>
        </w:rPr>
        <w:t> </w:t>
      </w:r>
    </w:p>
    <w:p w14:paraId="370A8984" w14:textId="77777777" w:rsidR="0009477D" w:rsidRPr="0009477D" w:rsidRDefault="0009477D" w:rsidP="0009477D">
      <w:pPr>
        <w:pStyle w:val="paragraph"/>
        <w:spacing w:before="0" w:beforeAutospacing="0" w:after="0" w:afterAutospacing="0"/>
        <w:textAlignment w:val="baseline"/>
        <w:rPr>
          <w:rFonts w:ascii="Century Gothic" w:hAnsi="Century Gothic" w:cstheme="minorHAnsi"/>
          <w:sz w:val="22"/>
          <w:szCs w:val="22"/>
        </w:rPr>
      </w:pPr>
      <w:proofErr w:type="gramStart"/>
      <w:r w:rsidRPr="0009477D">
        <w:rPr>
          <w:rStyle w:val="normaltextrun"/>
          <w:rFonts w:ascii="Century Gothic" w:hAnsi="Century Gothic" w:cstheme="minorHAnsi"/>
          <w:sz w:val="22"/>
          <w:szCs w:val="22"/>
          <w:lang w:val="en-US"/>
        </w:rPr>
        <w:t>A number of</w:t>
      </w:r>
      <w:proofErr w:type="gramEnd"/>
      <w:r w:rsidRPr="0009477D">
        <w:rPr>
          <w:rStyle w:val="normaltextrun"/>
          <w:rFonts w:ascii="Century Gothic" w:hAnsi="Century Gothic" w:cstheme="minorHAnsi"/>
          <w:sz w:val="22"/>
          <w:szCs w:val="22"/>
          <w:lang w:val="en-US"/>
        </w:rPr>
        <w:t xml:space="preserve"> initiatives are in place across the NHS England but recent developments from NHS Scotland and Northern Ireland see attempts to join up health (acute and primary) and social care, underpinned by the deployment of the Rhapsody platform (by </w:t>
      </w:r>
      <w:proofErr w:type="spellStart"/>
      <w:r w:rsidRPr="0009477D">
        <w:rPr>
          <w:rStyle w:val="normaltextrun"/>
          <w:rFonts w:ascii="Century Gothic" w:hAnsi="Century Gothic" w:cstheme="minorHAnsi"/>
          <w:sz w:val="22"/>
          <w:szCs w:val="22"/>
          <w:lang w:val="en-US"/>
        </w:rPr>
        <w:t>Lyniate</w:t>
      </w:r>
      <w:proofErr w:type="spellEnd"/>
      <w:r w:rsidRPr="0009477D">
        <w:rPr>
          <w:rStyle w:val="normaltextrun"/>
          <w:rFonts w:ascii="Century Gothic" w:hAnsi="Century Gothic" w:cstheme="minorHAnsi"/>
          <w:sz w:val="22"/>
          <w:szCs w:val="22"/>
          <w:lang w:val="en-US"/>
        </w:rPr>
        <w:t xml:space="preserve">) as part of the rollout of Epic EMR.  This project (“Encompass”) seeks to enable flows of information between sectors to reduce duplication and support quality of care (HSCNI, 2020).  </w:t>
      </w:r>
      <w:proofErr w:type="spellStart"/>
      <w:r w:rsidRPr="0009477D">
        <w:rPr>
          <w:rStyle w:val="normaltextrun"/>
          <w:rFonts w:ascii="Century Gothic" w:hAnsi="Century Gothic" w:cstheme="minorHAnsi"/>
          <w:i/>
          <w:iCs/>
          <w:sz w:val="22"/>
          <w:szCs w:val="22"/>
          <w:lang w:val="en-US"/>
        </w:rPr>
        <w:t>TrakCare</w:t>
      </w:r>
      <w:proofErr w:type="spellEnd"/>
      <w:r w:rsidRPr="0009477D">
        <w:rPr>
          <w:rStyle w:val="normaltextrun"/>
          <w:rFonts w:ascii="Century Gothic" w:hAnsi="Century Gothic" w:cstheme="minorHAnsi"/>
          <w:sz w:val="22"/>
          <w:szCs w:val="22"/>
          <w:lang w:val="en-US"/>
        </w:rPr>
        <w:t xml:space="preserve"> by </w:t>
      </w:r>
      <w:proofErr w:type="spellStart"/>
      <w:r w:rsidRPr="0009477D">
        <w:rPr>
          <w:rStyle w:val="normaltextrun"/>
          <w:rFonts w:ascii="Century Gothic" w:hAnsi="Century Gothic" w:cstheme="minorHAnsi"/>
          <w:sz w:val="22"/>
          <w:szCs w:val="22"/>
          <w:lang w:val="en-US"/>
        </w:rPr>
        <w:t>Intersystems</w:t>
      </w:r>
      <w:proofErr w:type="spellEnd"/>
      <w:r w:rsidRPr="0009477D">
        <w:rPr>
          <w:rStyle w:val="normaltextrun"/>
          <w:rFonts w:ascii="Century Gothic" w:hAnsi="Century Gothic" w:cstheme="minorHAnsi"/>
          <w:sz w:val="22"/>
          <w:szCs w:val="22"/>
          <w:lang w:val="en-US"/>
        </w:rPr>
        <w:t xml:space="preserve"> is used in NHS Scotland to provide a unified record between primary, </w:t>
      </w:r>
      <w:proofErr w:type="gramStart"/>
      <w:r w:rsidRPr="0009477D">
        <w:rPr>
          <w:rStyle w:val="normaltextrun"/>
          <w:rFonts w:ascii="Century Gothic" w:hAnsi="Century Gothic" w:cstheme="minorHAnsi"/>
          <w:sz w:val="22"/>
          <w:szCs w:val="22"/>
          <w:lang w:val="en-US"/>
        </w:rPr>
        <w:t>acute</w:t>
      </w:r>
      <w:proofErr w:type="gramEnd"/>
      <w:r w:rsidRPr="0009477D">
        <w:rPr>
          <w:rStyle w:val="normaltextrun"/>
          <w:rFonts w:ascii="Century Gothic" w:hAnsi="Century Gothic" w:cstheme="minorHAnsi"/>
          <w:sz w:val="22"/>
          <w:szCs w:val="22"/>
          <w:lang w:val="en-US"/>
        </w:rPr>
        <w:t xml:space="preserve"> and social care providers. </w:t>
      </w:r>
      <w:r w:rsidRPr="0009477D">
        <w:rPr>
          <w:rStyle w:val="eop"/>
          <w:rFonts w:ascii="Century Gothic" w:eastAsiaTheme="majorEastAsia" w:hAnsi="Century Gothic" w:cstheme="minorHAnsi"/>
          <w:sz w:val="22"/>
          <w:szCs w:val="22"/>
        </w:rPr>
        <w:t> </w:t>
      </w:r>
    </w:p>
    <w:p w14:paraId="2A4A526A" w14:textId="77777777" w:rsidR="0009477D" w:rsidRPr="0009477D" w:rsidRDefault="0009477D" w:rsidP="0009477D">
      <w:pPr>
        <w:pStyle w:val="paragraph"/>
        <w:spacing w:before="0" w:beforeAutospacing="0" w:after="0" w:afterAutospacing="0"/>
        <w:textAlignment w:val="baseline"/>
        <w:rPr>
          <w:rStyle w:val="normaltextrun"/>
          <w:rFonts w:ascii="Century Gothic" w:hAnsi="Century Gothic" w:cstheme="minorHAnsi"/>
          <w:i/>
          <w:iCs/>
          <w:color w:val="C00000"/>
          <w:sz w:val="22"/>
          <w:szCs w:val="22"/>
          <w:lang w:val="en-US"/>
        </w:rPr>
      </w:pPr>
    </w:p>
    <w:p w14:paraId="00486E99" w14:textId="77777777" w:rsidR="0009477D" w:rsidRPr="0009477D" w:rsidRDefault="0009477D" w:rsidP="0009477D">
      <w:pPr>
        <w:pStyle w:val="paragraph"/>
        <w:spacing w:before="0" w:beforeAutospacing="0" w:after="0" w:afterAutospacing="0"/>
        <w:textAlignment w:val="baseline"/>
        <w:rPr>
          <w:rFonts w:ascii="Century Gothic" w:hAnsi="Century Gothic" w:cstheme="minorHAnsi"/>
          <w:i/>
          <w:iCs/>
          <w:color w:val="2F5496"/>
          <w:sz w:val="22"/>
          <w:szCs w:val="22"/>
        </w:rPr>
      </w:pPr>
      <w:r w:rsidRPr="0009477D">
        <w:rPr>
          <w:rStyle w:val="normaltextrun"/>
          <w:rFonts w:ascii="Century Gothic" w:hAnsi="Century Gothic" w:cstheme="minorHAnsi"/>
          <w:i/>
          <w:iCs/>
          <w:color w:val="C00000"/>
          <w:sz w:val="22"/>
          <w:szCs w:val="22"/>
          <w:lang w:val="en-US"/>
        </w:rPr>
        <w:t>Israel &amp; Middle East </w:t>
      </w:r>
      <w:r w:rsidRPr="0009477D">
        <w:rPr>
          <w:rStyle w:val="eop"/>
          <w:rFonts w:ascii="Century Gothic" w:eastAsiaTheme="majorEastAsia" w:hAnsi="Century Gothic" w:cstheme="minorHAnsi"/>
          <w:i/>
          <w:iCs/>
          <w:color w:val="C00000"/>
          <w:sz w:val="22"/>
          <w:szCs w:val="22"/>
        </w:rPr>
        <w:t> </w:t>
      </w:r>
    </w:p>
    <w:p w14:paraId="75C79EFF" w14:textId="79A821CB" w:rsidR="0009477D" w:rsidRDefault="0009477D" w:rsidP="0009477D">
      <w:pPr>
        <w:pStyle w:val="paragraph"/>
        <w:spacing w:before="0" w:beforeAutospacing="0" w:after="0" w:afterAutospacing="0"/>
        <w:textAlignment w:val="baseline"/>
        <w:rPr>
          <w:rStyle w:val="normaltextrun"/>
          <w:rFonts w:ascii="Century Gothic" w:hAnsi="Century Gothic" w:cstheme="minorHAnsi"/>
          <w:sz w:val="22"/>
          <w:szCs w:val="22"/>
          <w:lang w:val="en-US"/>
        </w:rPr>
      </w:pPr>
      <w:r w:rsidRPr="0009477D">
        <w:rPr>
          <w:rStyle w:val="normaltextrun"/>
          <w:rFonts w:ascii="Century Gothic" w:hAnsi="Century Gothic" w:cstheme="minorHAnsi"/>
          <w:sz w:val="22"/>
          <w:szCs w:val="22"/>
          <w:lang w:val="en-US"/>
        </w:rPr>
        <w:t xml:space="preserve">Probably the </w:t>
      </w:r>
      <w:proofErr w:type="gramStart"/>
      <w:r w:rsidRPr="0009477D">
        <w:rPr>
          <w:rStyle w:val="normaltextrun"/>
          <w:rFonts w:ascii="Century Gothic" w:hAnsi="Century Gothic" w:cstheme="minorHAnsi"/>
          <w:sz w:val="22"/>
          <w:szCs w:val="22"/>
          <w:lang w:val="en-US"/>
        </w:rPr>
        <w:t>best known</w:t>
      </w:r>
      <w:proofErr w:type="gramEnd"/>
      <w:r w:rsidRPr="0009477D">
        <w:rPr>
          <w:rStyle w:val="normaltextrun"/>
          <w:rFonts w:ascii="Century Gothic" w:hAnsi="Century Gothic" w:cstheme="minorHAnsi"/>
          <w:sz w:val="22"/>
          <w:szCs w:val="22"/>
          <w:lang w:val="en-US"/>
        </w:rPr>
        <w:t xml:space="preserve"> instance of a system-wide, query-based deployment of a health information exchange is the deployment of </w:t>
      </w:r>
      <w:proofErr w:type="spellStart"/>
      <w:r w:rsidRPr="0009477D">
        <w:rPr>
          <w:rStyle w:val="normaltextrun"/>
          <w:rFonts w:ascii="Century Gothic" w:hAnsi="Century Gothic" w:cstheme="minorHAnsi"/>
          <w:i/>
          <w:iCs/>
          <w:sz w:val="22"/>
          <w:szCs w:val="22"/>
          <w:lang w:val="en-US"/>
        </w:rPr>
        <w:t>dbMotion</w:t>
      </w:r>
      <w:proofErr w:type="spellEnd"/>
      <w:r w:rsidRPr="0009477D">
        <w:rPr>
          <w:rStyle w:val="normaltextrun"/>
          <w:rFonts w:ascii="Century Gothic" w:hAnsi="Century Gothic" w:cstheme="minorHAnsi"/>
          <w:sz w:val="22"/>
          <w:szCs w:val="22"/>
          <w:lang w:val="en-US"/>
        </w:rPr>
        <w:t xml:space="preserve"> (Altera) across all of Israel’s public hospital, primary health care and military health services which has been in place for more than 20 years.  This is a true, national HIE system and enables seamless care irrespective of where a citizen is accessing care (Healthcare Israel, 2020).</w:t>
      </w:r>
    </w:p>
    <w:p w14:paraId="4225505F" w14:textId="2C892E72" w:rsidR="0009477D" w:rsidRDefault="0009477D" w:rsidP="0009477D">
      <w:pPr>
        <w:pStyle w:val="paragraph"/>
        <w:spacing w:before="0" w:beforeAutospacing="0" w:after="0" w:afterAutospacing="0"/>
        <w:textAlignment w:val="baseline"/>
        <w:rPr>
          <w:rStyle w:val="normaltextrun"/>
          <w:rFonts w:ascii="Century Gothic" w:hAnsi="Century Gothic" w:cstheme="minorHAnsi"/>
          <w:sz w:val="22"/>
          <w:szCs w:val="22"/>
          <w:lang w:val="en-US"/>
        </w:rPr>
      </w:pPr>
    </w:p>
    <w:p w14:paraId="78ADC895" w14:textId="77777777" w:rsidR="006041E0" w:rsidRDefault="006041E0" w:rsidP="0009477D">
      <w:pPr>
        <w:pStyle w:val="paragraph"/>
        <w:spacing w:before="0" w:beforeAutospacing="0" w:after="0" w:afterAutospacing="0"/>
        <w:textAlignment w:val="baseline"/>
        <w:rPr>
          <w:rStyle w:val="normaltextrun"/>
          <w:rFonts w:ascii="Century Gothic" w:hAnsi="Century Gothic" w:cstheme="minorHAnsi"/>
          <w:sz w:val="22"/>
          <w:szCs w:val="22"/>
          <w:lang w:val="en-US"/>
        </w:rPr>
      </w:pPr>
    </w:p>
    <w:p w14:paraId="062B9E6B" w14:textId="3B5CF848" w:rsidR="0009477D" w:rsidRPr="00C17C0E" w:rsidRDefault="0009477D" w:rsidP="0009477D">
      <w:pPr>
        <w:pStyle w:val="paragraph"/>
        <w:spacing w:before="0" w:beforeAutospacing="0" w:after="0" w:afterAutospacing="0"/>
        <w:textAlignment w:val="baseline"/>
        <w:rPr>
          <w:rFonts w:ascii="Century Gothic" w:hAnsi="Century Gothic" w:cstheme="minorHAnsi"/>
          <w:b/>
          <w:bCs/>
          <w:color w:val="2F5496"/>
          <w:sz w:val="22"/>
          <w:szCs w:val="22"/>
        </w:rPr>
      </w:pPr>
      <w:r w:rsidRPr="00C17C0E">
        <w:rPr>
          <w:rStyle w:val="normaltextrun"/>
          <w:rFonts w:ascii="Century Gothic" w:hAnsi="Century Gothic" w:cstheme="minorHAnsi"/>
          <w:b/>
          <w:bCs/>
          <w:color w:val="C00000"/>
          <w:sz w:val="22"/>
          <w:szCs w:val="22"/>
          <w:lang w:val="en-US"/>
        </w:rPr>
        <w:t>References</w:t>
      </w:r>
    </w:p>
    <w:p w14:paraId="2635038F" w14:textId="77777777" w:rsidR="0009477D" w:rsidRPr="0009477D" w:rsidRDefault="0009477D" w:rsidP="0009477D">
      <w:pPr>
        <w:pStyle w:val="paragraph"/>
        <w:spacing w:before="0" w:beforeAutospacing="0" w:after="0" w:afterAutospacing="0"/>
        <w:textAlignment w:val="baseline"/>
        <w:rPr>
          <w:rStyle w:val="normaltextrun"/>
          <w:rFonts w:ascii="Century Gothic" w:hAnsi="Century Gothic" w:cstheme="minorHAnsi"/>
          <w:sz w:val="22"/>
          <w:szCs w:val="22"/>
          <w:lang w:val="en-US"/>
        </w:rPr>
      </w:pPr>
      <w:r w:rsidRPr="0009477D">
        <w:rPr>
          <w:rFonts w:ascii="Century Gothic" w:hAnsi="Century Gothic" w:cstheme="minorHAnsi"/>
          <w:sz w:val="22"/>
          <w:szCs w:val="22"/>
          <w:lang w:val="en-GB"/>
        </w:rPr>
        <w:t>Holmgren AJ, Adler-Milstein J. Health Infor</w:t>
      </w:r>
      <w:r w:rsidRPr="0009477D">
        <w:rPr>
          <w:rFonts w:ascii="Century Gothic" w:hAnsi="Century Gothic" w:cstheme="minorHAnsi"/>
          <w:sz w:val="22"/>
          <w:szCs w:val="22"/>
          <w:lang w:val="en-GB"/>
        </w:rPr>
        <w:softHyphen/>
        <w:t>mation Exchange in US Hospitals: The Current Landscape and a Path to Improved Information Sharing. J Hosp Med 2017 Mar;12(3):193-8.</w:t>
      </w:r>
    </w:p>
    <w:p w14:paraId="5AD64310" w14:textId="77777777" w:rsidR="0009477D" w:rsidRPr="0009477D" w:rsidRDefault="0009477D" w:rsidP="0009477D">
      <w:pPr>
        <w:pStyle w:val="paragraph"/>
        <w:spacing w:before="0" w:beforeAutospacing="0" w:after="0" w:afterAutospacing="0"/>
        <w:textAlignment w:val="baseline"/>
        <w:rPr>
          <w:rStyle w:val="normaltextrun"/>
          <w:rFonts w:ascii="Century Gothic" w:hAnsi="Century Gothic" w:cstheme="minorHAnsi"/>
          <w:sz w:val="22"/>
          <w:szCs w:val="22"/>
          <w:lang w:val="en-US"/>
        </w:rPr>
      </w:pPr>
    </w:p>
    <w:p w14:paraId="68D7ACE7" w14:textId="77777777" w:rsidR="0009477D" w:rsidRPr="0009477D" w:rsidRDefault="0009477D" w:rsidP="0009477D">
      <w:pPr>
        <w:pStyle w:val="paragraph"/>
        <w:spacing w:before="0" w:beforeAutospacing="0" w:after="0" w:afterAutospacing="0"/>
        <w:textAlignment w:val="baseline"/>
        <w:rPr>
          <w:rFonts w:ascii="Century Gothic" w:hAnsi="Century Gothic" w:cstheme="minorHAnsi"/>
          <w:sz w:val="22"/>
          <w:szCs w:val="22"/>
        </w:rPr>
      </w:pPr>
      <w:r w:rsidRPr="0009477D">
        <w:rPr>
          <w:rStyle w:val="normaltextrun"/>
          <w:rFonts w:ascii="Century Gothic" w:hAnsi="Century Gothic" w:cstheme="minorHAnsi"/>
          <w:sz w:val="22"/>
          <w:szCs w:val="22"/>
          <w:lang w:val="en-US"/>
        </w:rPr>
        <w:t xml:space="preserve">Healthcare Israel, 2022, The Implementation of a National Health Information Exchange Platform in Israel: Digital Case Study, Inter-American Development Bank, available from </w:t>
      </w:r>
      <w:hyperlink r:id="rId15" w:tgtFrame="_blank" w:history="1">
        <w:r w:rsidRPr="0009477D">
          <w:rPr>
            <w:rStyle w:val="normaltextrun"/>
            <w:rFonts w:ascii="Century Gothic" w:hAnsi="Century Gothic" w:cstheme="minorHAnsi"/>
            <w:color w:val="0563C1"/>
            <w:sz w:val="22"/>
            <w:szCs w:val="22"/>
            <w:u w:val="single"/>
            <w:lang w:val="en-US"/>
          </w:rPr>
          <w:t>https://socialdigital.iadb.org/en/sph/resources/research-publications/19173</w:t>
        </w:r>
      </w:hyperlink>
      <w:r w:rsidRPr="0009477D">
        <w:rPr>
          <w:rStyle w:val="normaltextrun"/>
          <w:rFonts w:ascii="Century Gothic" w:hAnsi="Century Gothic" w:cstheme="minorHAnsi"/>
          <w:sz w:val="22"/>
          <w:szCs w:val="22"/>
          <w:lang w:val="en-US"/>
        </w:rPr>
        <w:t xml:space="preserve"> accessed 23/12/2022</w:t>
      </w:r>
      <w:r w:rsidRPr="0009477D">
        <w:rPr>
          <w:rStyle w:val="eop"/>
          <w:rFonts w:ascii="Century Gothic" w:eastAsiaTheme="majorEastAsia" w:hAnsi="Century Gothic" w:cstheme="minorHAnsi"/>
          <w:sz w:val="22"/>
          <w:szCs w:val="22"/>
        </w:rPr>
        <w:t> </w:t>
      </w:r>
    </w:p>
    <w:p w14:paraId="35110FEE" w14:textId="77777777" w:rsidR="0009477D" w:rsidRPr="0009477D" w:rsidRDefault="0009477D" w:rsidP="0009477D">
      <w:pPr>
        <w:pStyle w:val="paragraph"/>
        <w:spacing w:before="0" w:beforeAutospacing="0" w:after="0" w:afterAutospacing="0"/>
        <w:textAlignment w:val="baseline"/>
        <w:rPr>
          <w:rFonts w:ascii="Century Gothic" w:hAnsi="Century Gothic" w:cstheme="minorHAnsi"/>
          <w:sz w:val="22"/>
          <w:szCs w:val="22"/>
        </w:rPr>
      </w:pPr>
    </w:p>
    <w:p w14:paraId="6A9CFA85" w14:textId="77777777" w:rsidR="0009477D" w:rsidRPr="0009477D" w:rsidRDefault="0009477D" w:rsidP="0009477D">
      <w:pPr>
        <w:pStyle w:val="paragraph"/>
        <w:spacing w:before="0" w:beforeAutospacing="0" w:after="0" w:afterAutospacing="0"/>
        <w:textAlignment w:val="baseline"/>
        <w:rPr>
          <w:rStyle w:val="eop"/>
          <w:rFonts w:ascii="Century Gothic" w:eastAsiaTheme="majorEastAsia" w:hAnsi="Century Gothic" w:cstheme="minorHAnsi"/>
          <w:color w:val="000000"/>
          <w:sz w:val="22"/>
          <w:szCs w:val="22"/>
        </w:rPr>
      </w:pPr>
      <w:r w:rsidRPr="0009477D">
        <w:rPr>
          <w:rStyle w:val="normaltextrun"/>
          <w:rFonts w:ascii="Century Gothic" w:hAnsi="Century Gothic" w:cstheme="minorHAnsi"/>
          <w:color w:val="000000"/>
          <w:sz w:val="22"/>
          <w:szCs w:val="22"/>
          <w:lang w:val="en-US"/>
        </w:rPr>
        <w:t xml:space="preserve">Health Translation SA, 2020,  </w:t>
      </w:r>
      <w:r w:rsidRPr="0009477D">
        <w:rPr>
          <w:rStyle w:val="normaltextrun"/>
          <w:rFonts w:ascii="Century Gothic" w:hAnsi="Century Gothic" w:cstheme="minorHAnsi"/>
          <w:i/>
          <w:iCs/>
          <w:color w:val="000000"/>
          <w:sz w:val="22"/>
          <w:szCs w:val="22"/>
        </w:rPr>
        <w:t>Continuity of Care Across the Primary and Acute Care Interface</w:t>
      </w:r>
      <w:r w:rsidRPr="0009477D">
        <w:rPr>
          <w:rStyle w:val="normaltextrun"/>
          <w:rFonts w:ascii="Century Gothic" w:hAnsi="Century Gothic" w:cstheme="minorHAnsi"/>
          <w:b/>
          <w:bCs/>
          <w:color w:val="000000"/>
          <w:sz w:val="22"/>
          <w:szCs w:val="22"/>
        </w:rPr>
        <w:t xml:space="preserve"> </w:t>
      </w:r>
      <w:r w:rsidRPr="0009477D">
        <w:rPr>
          <w:rStyle w:val="normaltextrun"/>
          <w:rFonts w:ascii="Century Gothic" w:hAnsi="Century Gothic" w:cstheme="minorHAnsi"/>
          <w:color w:val="000000"/>
          <w:sz w:val="22"/>
          <w:szCs w:val="22"/>
        </w:rPr>
        <w:t>Situational Analysis; a</w:t>
      </w:r>
      <w:proofErr w:type="spellStart"/>
      <w:r w:rsidRPr="0009477D">
        <w:rPr>
          <w:rStyle w:val="normaltextrun"/>
          <w:rFonts w:ascii="Century Gothic" w:hAnsi="Century Gothic" w:cstheme="minorHAnsi"/>
          <w:color w:val="000000"/>
          <w:sz w:val="22"/>
          <w:szCs w:val="22"/>
          <w:lang w:val="en-US"/>
        </w:rPr>
        <w:t>vailable</w:t>
      </w:r>
      <w:proofErr w:type="spellEnd"/>
      <w:r w:rsidRPr="0009477D">
        <w:rPr>
          <w:rStyle w:val="normaltextrun"/>
          <w:rFonts w:ascii="Century Gothic" w:hAnsi="Century Gothic" w:cstheme="minorHAnsi"/>
          <w:color w:val="000000"/>
          <w:sz w:val="22"/>
          <w:szCs w:val="22"/>
          <w:lang w:val="en-US"/>
        </w:rPr>
        <w:t xml:space="preserve"> from </w:t>
      </w:r>
      <w:hyperlink r:id="rId16" w:tgtFrame="_blank" w:history="1">
        <w:r w:rsidRPr="0009477D">
          <w:rPr>
            <w:rStyle w:val="normaltextrun"/>
            <w:rFonts w:ascii="Century Gothic" w:hAnsi="Century Gothic" w:cstheme="minorHAnsi"/>
            <w:color w:val="0563C1"/>
            <w:sz w:val="22"/>
            <w:szCs w:val="22"/>
            <w:u w:val="single"/>
            <w:lang w:val="en-US"/>
          </w:rPr>
          <w:t>https://healthtranslationsa.org.au/wp-content/uploads/2020/12/HTSA-Situational-Analysis-Continuity-of-Care-Across-the-Primary-and-Acute-Care-Interface.pdf</w:t>
        </w:r>
      </w:hyperlink>
      <w:r w:rsidRPr="0009477D">
        <w:rPr>
          <w:rStyle w:val="normaltextrun"/>
          <w:rFonts w:ascii="Century Gothic" w:hAnsi="Century Gothic" w:cstheme="minorHAnsi"/>
          <w:color w:val="000000"/>
          <w:sz w:val="22"/>
          <w:szCs w:val="22"/>
          <w:lang w:val="en-US"/>
        </w:rPr>
        <w:t xml:space="preserve"> accessed 23/01/23</w:t>
      </w:r>
      <w:r w:rsidRPr="0009477D">
        <w:rPr>
          <w:rStyle w:val="eop"/>
          <w:rFonts w:ascii="Century Gothic" w:eastAsiaTheme="majorEastAsia" w:hAnsi="Century Gothic" w:cstheme="minorHAnsi"/>
          <w:color w:val="000000"/>
          <w:sz w:val="22"/>
          <w:szCs w:val="22"/>
        </w:rPr>
        <w:t> </w:t>
      </w:r>
    </w:p>
    <w:p w14:paraId="2343B116" w14:textId="77777777" w:rsidR="0009477D" w:rsidRPr="0009477D" w:rsidRDefault="0009477D" w:rsidP="0009477D">
      <w:pPr>
        <w:pStyle w:val="paragraph"/>
        <w:spacing w:before="0" w:beforeAutospacing="0" w:after="0" w:afterAutospacing="0"/>
        <w:textAlignment w:val="baseline"/>
        <w:rPr>
          <w:rFonts w:ascii="Century Gothic" w:hAnsi="Century Gothic" w:cstheme="minorHAnsi"/>
          <w:sz w:val="22"/>
          <w:szCs w:val="22"/>
        </w:rPr>
      </w:pPr>
    </w:p>
    <w:p w14:paraId="76ED5AA0" w14:textId="77777777" w:rsidR="0009477D" w:rsidRPr="0009477D" w:rsidRDefault="0009477D" w:rsidP="0009477D">
      <w:pPr>
        <w:pStyle w:val="paragraph"/>
        <w:spacing w:before="0" w:beforeAutospacing="0" w:after="0" w:afterAutospacing="0"/>
        <w:textAlignment w:val="baseline"/>
        <w:rPr>
          <w:rStyle w:val="eop"/>
          <w:rFonts w:ascii="Century Gothic" w:eastAsiaTheme="majorEastAsia" w:hAnsi="Century Gothic" w:cstheme="minorHAnsi"/>
          <w:color w:val="000000"/>
          <w:sz w:val="22"/>
          <w:szCs w:val="22"/>
        </w:rPr>
      </w:pPr>
      <w:proofErr w:type="spellStart"/>
      <w:r w:rsidRPr="0009477D">
        <w:rPr>
          <w:rStyle w:val="normaltextrun"/>
          <w:rFonts w:ascii="Century Gothic" w:hAnsi="Century Gothic" w:cstheme="minorHAnsi"/>
          <w:color w:val="000000"/>
          <w:sz w:val="22"/>
          <w:szCs w:val="22"/>
          <w:lang w:val="en-US"/>
        </w:rPr>
        <w:t>Lenert</w:t>
      </w:r>
      <w:proofErr w:type="spellEnd"/>
      <w:r w:rsidRPr="0009477D">
        <w:rPr>
          <w:rStyle w:val="normaltextrun"/>
          <w:rFonts w:ascii="Century Gothic" w:hAnsi="Century Gothic" w:cstheme="minorHAnsi"/>
          <w:color w:val="000000"/>
          <w:sz w:val="22"/>
          <w:szCs w:val="22"/>
          <w:lang w:val="en-US"/>
        </w:rPr>
        <w:t xml:space="preserve">, </w:t>
      </w:r>
      <w:proofErr w:type="gramStart"/>
      <w:r w:rsidRPr="0009477D">
        <w:rPr>
          <w:rStyle w:val="normaltextrun"/>
          <w:rFonts w:ascii="Century Gothic" w:hAnsi="Century Gothic" w:cstheme="minorHAnsi"/>
          <w:color w:val="000000"/>
          <w:sz w:val="22"/>
          <w:szCs w:val="22"/>
          <w:lang w:val="en-US"/>
        </w:rPr>
        <w:t>Leslie ;</w:t>
      </w:r>
      <w:proofErr w:type="gramEnd"/>
      <w:r w:rsidRPr="0009477D">
        <w:rPr>
          <w:rStyle w:val="normaltextrun"/>
          <w:rFonts w:ascii="Century Gothic" w:hAnsi="Century Gothic" w:cstheme="minorHAnsi"/>
          <w:color w:val="000000"/>
          <w:sz w:val="22"/>
          <w:szCs w:val="22"/>
          <w:lang w:val="en-US"/>
        </w:rPr>
        <w:t>  McSwain, Brooke Yeager, 2020, Balancing health privacy, health information exchange, and research in the context of the COVID-19 pandemic Journal of the American Medical Informatics Association : JAMIA, 2020, Vol.27 (6), p.963-966 DOI: 10.1093/</w:t>
      </w:r>
      <w:proofErr w:type="spellStart"/>
      <w:r w:rsidRPr="0009477D">
        <w:rPr>
          <w:rStyle w:val="normaltextrun"/>
          <w:rFonts w:ascii="Century Gothic" w:hAnsi="Century Gothic" w:cstheme="minorHAnsi"/>
          <w:color w:val="000000"/>
          <w:sz w:val="22"/>
          <w:szCs w:val="22"/>
          <w:lang w:val="en-US"/>
        </w:rPr>
        <w:t>jamia</w:t>
      </w:r>
      <w:proofErr w:type="spellEnd"/>
      <w:r w:rsidRPr="0009477D">
        <w:rPr>
          <w:rStyle w:val="normaltextrun"/>
          <w:rFonts w:ascii="Century Gothic" w:hAnsi="Century Gothic" w:cstheme="minorHAnsi"/>
          <w:color w:val="000000"/>
          <w:sz w:val="22"/>
          <w:szCs w:val="22"/>
          <w:lang w:val="en-US"/>
        </w:rPr>
        <w:t>/ocaa039; PMID: 32232432</w:t>
      </w:r>
      <w:r w:rsidRPr="0009477D">
        <w:rPr>
          <w:rStyle w:val="eop"/>
          <w:rFonts w:ascii="Century Gothic" w:eastAsiaTheme="majorEastAsia" w:hAnsi="Century Gothic" w:cstheme="minorHAnsi"/>
          <w:color w:val="000000"/>
          <w:sz w:val="22"/>
          <w:szCs w:val="22"/>
        </w:rPr>
        <w:t> </w:t>
      </w:r>
    </w:p>
    <w:p w14:paraId="0ABAB0D4" w14:textId="77777777" w:rsidR="0009477D" w:rsidRPr="0009477D" w:rsidRDefault="0009477D" w:rsidP="0009477D">
      <w:pPr>
        <w:pStyle w:val="paragraph"/>
        <w:spacing w:before="0" w:beforeAutospacing="0" w:after="0" w:afterAutospacing="0"/>
        <w:textAlignment w:val="baseline"/>
        <w:rPr>
          <w:rFonts w:ascii="Century Gothic" w:hAnsi="Century Gothic" w:cstheme="minorHAnsi"/>
          <w:sz w:val="22"/>
          <w:szCs w:val="22"/>
        </w:rPr>
      </w:pPr>
    </w:p>
    <w:p w14:paraId="371E5C81" w14:textId="77777777" w:rsidR="0009477D" w:rsidRPr="0009477D" w:rsidRDefault="0009477D" w:rsidP="0009477D">
      <w:pPr>
        <w:pStyle w:val="paragraph"/>
        <w:spacing w:before="0" w:beforeAutospacing="0" w:after="0" w:afterAutospacing="0"/>
        <w:textAlignment w:val="baseline"/>
        <w:rPr>
          <w:rStyle w:val="eop"/>
          <w:rFonts w:ascii="Century Gothic" w:eastAsiaTheme="majorEastAsia" w:hAnsi="Century Gothic" w:cstheme="minorHAnsi"/>
          <w:color w:val="000000"/>
          <w:sz w:val="22"/>
          <w:szCs w:val="22"/>
        </w:rPr>
      </w:pPr>
      <w:r w:rsidRPr="0009477D">
        <w:rPr>
          <w:rStyle w:val="normaltextrun"/>
          <w:rFonts w:ascii="Century Gothic" w:hAnsi="Century Gothic" w:cstheme="minorHAnsi"/>
          <w:color w:val="000000"/>
          <w:sz w:val="22"/>
          <w:szCs w:val="22"/>
          <w:lang w:val="en-US"/>
        </w:rPr>
        <w:lastRenderedPageBreak/>
        <w:t>Mahajan, Anish P Health Information Exchange—Obvious Choice or Pipe Dream? JAMA internal medicine, 2016, Vol.176 (4), p.429-430 DOI: 10.1001/jamainternmed.2016.0149; PMID: 26974128</w:t>
      </w:r>
      <w:r w:rsidRPr="0009477D">
        <w:rPr>
          <w:rStyle w:val="eop"/>
          <w:rFonts w:ascii="Century Gothic" w:eastAsiaTheme="majorEastAsia" w:hAnsi="Century Gothic" w:cstheme="minorHAnsi"/>
          <w:color w:val="000000"/>
          <w:sz w:val="22"/>
          <w:szCs w:val="22"/>
        </w:rPr>
        <w:t> </w:t>
      </w:r>
    </w:p>
    <w:p w14:paraId="22CF9024" w14:textId="77777777" w:rsidR="0009477D" w:rsidRPr="0009477D" w:rsidRDefault="0009477D" w:rsidP="0009477D">
      <w:pPr>
        <w:pStyle w:val="paragraph"/>
        <w:spacing w:before="0" w:beforeAutospacing="0" w:after="0" w:afterAutospacing="0"/>
        <w:textAlignment w:val="baseline"/>
        <w:rPr>
          <w:rFonts w:ascii="Century Gothic" w:hAnsi="Century Gothic" w:cstheme="minorHAnsi"/>
          <w:sz w:val="22"/>
          <w:szCs w:val="22"/>
        </w:rPr>
      </w:pPr>
    </w:p>
    <w:p w14:paraId="0FD96F4D" w14:textId="77777777" w:rsidR="0009477D" w:rsidRPr="0009477D" w:rsidRDefault="0009477D" w:rsidP="0009477D">
      <w:pPr>
        <w:pStyle w:val="paragraph"/>
        <w:spacing w:before="0" w:beforeAutospacing="0" w:after="0" w:afterAutospacing="0"/>
        <w:textAlignment w:val="baseline"/>
        <w:rPr>
          <w:rFonts w:ascii="Century Gothic" w:hAnsi="Century Gothic" w:cstheme="minorHAnsi"/>
          <w:sz w:val="22"/>
          <w:szCs w:val="22"/>
        </w:rPr>
      </w:pPr>
      <w:r w:rsidRPr="0009477D">
        <w:rPr>
          <w:rStyle w:val="normaltextrun"/>
          <w:rFonts w:ascii="Century Gothic" w:hAnsi="Century Gothic" w:cstheme="minorHAnsi"/>
          <w:color w:val="000000"/>
          <w:sz w:val="22"/>
          <w:szCs w:val="22"/>
          <w:lang w:val="en-US"/>
        </w:rPr>
        <w:t xml:space="preserve">Nahm, </w:t>
      </w:r>
      <w:proofErr w:type="gramStart"/>
      <w:r w:rsidRPr="0009477D">
        <w:rPr>
          <w:rStyle w:val="normaltextrun"/>
          <w:rFonts w:ascii="Century Gothic" w:hAnsi="Century Gothic" w:cstheme="minorHAnsi"/>
          <w:color w:val="000000"/>
          <w:sz w:val="22"/>
          <w:szCs w:val="22"/>
          <w:lang w:val="en-US"/>
        </w:rPr>
        <w:t xml:space="preserve">E;  </w:t>
      </w:r>
      <w:proofErr w:type="spellStart"/>
      <w:r w:rsidRPr="0009477D">
        <w:rPr>
          <w:rStyle w:val="normaltextrun"/>
          <w:rFonts w:ascii="Century Gothic" w:hAnsi="Century Gothic" w:cstheme="minorHAnsi"/>
          <w:color w:val="000000"/>
          <w:sz w:val="22"/>
          <w:szCs w:val="22"/>
          <w:lang w:val="en-US"/>
        </w:rPr>
        <w:t>Schoenbaum</w:t>
      </w:r>
      <w:proofErr w:type="spellEnd"/>
      <w:proofErr w:type="gramEnd"/>
      <w:r w:rsidRPr="0009477D">
        <w:rPr>
          <w:rStyle w:val="normaltextrun"/>
          <w:rFonts w:ascii="Century Gothic" w:hAnsi="Century Gothic" w:cstheme="minorHAnsi"/>
          <w:color w:val="000000"/>
          <w:sz w:val="22"/>
          <w:szCs w:val="22"/>
          <w:lang w:val="en-US"/>
        </w:rPr>
        <w:t xml:space="preserve">, A;  </w:t>
      </w:r>
      <w:proofErr w:type="spellStart"/>
      <w:r w:rsidRPr="0009477D">
        <w:rPr>
          <w:rStyle w:val="normaltextrun"/>
          <w:rFonts w:ascii="Century Gothic" w:hAnsi="Century Gothic" w:cstheme="minorHAnsi"/>
          <w:color w:val="000000"/>
          <w:sz w:val="22"/>
          <w:szCs w:val="22"/>
          <w:lang w:val="en-US"/>
        </w:rPr>
        <w:t>Behm</w:t>
      </w:r>
      <w:proofErr w:type="spellEnd"/>
      <w:r w:rsidRPr="0009477D">
        <w:rPr>
          <w:rStyle w:val="normaltextrun"/>
          <w:rFonts w:ascii="Century Gothic" w:hAnsi="Century Gothic" w:cstheme="minorHAnsi"/>
          <w:color w:val="000000"/>
          <w:sz w:val="22"/>
          <w:szCs w:val="22"/>
          <w:lang w:val="en-US"/>
        </w:rPr>
        <w:t>, C;  Rowen, L;  Health Information Exchange: Practical Overview and Implications for Nursing Practice The Journal of nursing administration, 2020, Vol.50 (11), p.584-589 DOI: 10.1097/NNA.0000000000000941; PMID: 33105335 </w:t>
      </w:r>
      <w:r w:rsidRPr="0009477D">
        <w:rPr>
          <w:rStyle w:val="eop"/>
          <w:rFonts w:ascii="Century Gothic" w:eastAsiaTheme="majorEastAsia" w:hAnsi="Century Gothic" w:cstheme="minorHAnsi"/>
          <w:color w:val="000000"/>
          <w:sz w:val="22"/>
          <w:szCs w:val="22"/>
        </w:rPr>
        <w:t> </w:t>
      </w:r>
    </w:p>
    <w:p w14:paraId="238F959F" w14:textId="77777777" w:rsidR="0009477D" w:rsidRPr="0009477D" w:rsidRDefault="0009477D" w:rsidP="0009477D">
      <w:pPr>
        <w:pStyle w:val="paragraph"/>
        <w:spacing w:before="0" w:beforeAutospacing="0" w:after="0" w:afterAutospacing="0"/>
        <w:textAlignment w:val="baseline"/>
        <w:rPr>
          <w:rStyle w:val="normaltextrun"/>
          <w:rFonts w:ascii="Century Gothic" w:hAnsi="Century Gothic" w:cstheme="minorHAnsi"/>
          <w:color w:val="000000"/>
          <w:sz w:val="22"/>
          <w:szCs w:val="22"/>
          <w:lang w:val="en-US"/>
        </w:rPr>
      </w:pPr>
    </w:p>
    <w:p w14:paraId="566BB486" w14:textId="77777777" w:rsidR="0009477D" w:rsidRPr="0009477D" w:rsidRDefault="0009477D" w:rsidP="0009477D">
      <w:pPr>
        <w:rPr>
          <w:rFonts w:ascii="Century Gothic" w:hAnsi="Century Gothic" w:cstheme="minorHAnsi"/>
          <w:sz w:val="22"/>
          <w:szCs w:val="22"/>
        </w:rPr>
      </w:pPr>
      <w:r w:rsidRPr="0009477D">
        <w:rPr>
          <w:rFonts w:ascii="Century Gothic" w:hAnsi="Century Gothic" w:cstheme="minorHAnsi"/>
          <w:sz w:val="22"/>
          <w:szCs w:val="22"/>
        </w:rPr>
        <w:t>Sarkar, IN (2022) Transforming Health Data to Actionable Information: Recent Progress and Future Opportunities in Health Information Exchange, IMIA Yearbook of Medical Informatics 2022 31(1):203-214, DOI: </w:t>
      </w:r>
      <w:hyperlink r:id="rId17" w:history="1">
        <w:r w:rsidRPr="0009477D">
          <w:rPr>
            <w:rStyle w:val="Hyperlink"/>
            <w:rFonts w:ascii="Century Gothic" w:hAnsi="Century Gothic" w:cstheme="minorHAnsi"/>
            <w:sz w:val="22"/>
            <w:szCs w:val="22"/>
          </w:rPr>
          <w:t>10.1055/s-0042-1742519</w:t>
        </w:r>
      </w:hyperlink>
      <w:r w:rsidRPr="0009477D">
        <w:rPr>
          <w:rFonts w:ascii="Century Gothic" w:hAnsi="Century Gothic" w:cstheme="minorHAnsi"/>
          <w:sz w:val="22"/>
          <w:szCs w:val="22"/>
        </w:rPr>
        <w:t> </w:t>
      </w:r>
    </w:p>
    <w:p w14:paraId="7CF9689F" w14:textId="77777777" w:rsidR="0009477D" w:rsidRPr="0009477D" w:rsidRDefault="0009477D" w:rsidP="0009477D">
      <w:pPr>
        <w:pStyle w:val="paragraph"/>
        <w:spacing w:before="0" w:beforeAutospacing="0" w:after="0" w:afterAutospacing="0"/>
        <w:textAlignment w:val="baseline"/>
        <w:rPr>
          <w:rFonts w:ascii="Century Gothic" w:hAnsi="Century Gothic" w:cstheme="minorHAnsi"/>
          <w:sz w:val="22"/>
          <w:szCs w:val="22"/>
        </w:rPr>
      </w:pPr>
    </w:p>
    <w:p w14:paraId="072F83D7" w14:textId="77777777" w:rsidR="0009477D" w:rsidRPr="0009477D" w:rsidRDefault="0009477D" w:rsidP="0009477D">
      <w:pPr>
        <w:pStyle w:val="paragraph"/>
        <w:spacing w:before="0" w:beforeAutospacing="0" w:after="0" w:afterAutospacing="0"/>
        <w:textAlignment w:val="baseline"/>
        <w:rPr>
          <w:rFonts w:ascii="Century Gothic" w:hAnsi="Century Gothic" w:cstheme="minorHAnsi"/>
          <w:sz w:val="22"/>
          <w:szCs w:val="22"/>
        </w:rPr>
      </w:pPr>
      <w:proofErr w:type="spellStart"/>
      <w:r w:rsidRPr="0009477D">
        <w:rPr>
          <w:rFonts w:ascii="Century Gothic" w:hAnsi="Century Gothic" w:cstheme="minorHAnsi"/>
          <w:sz w:val="22"/>
          <w:szCs w:val="22"/>
          <w:lang w:val="en-GB"/>
        </w:rPr>
        <w:t>Schoenbaum</w:t>
      </w:r>
      <w:proofErr w:type="spellEnd"/>
      <w:r w:rsidRPr="0009477D">
        <w:rPr>
          <w:rFonts w:ascii="Century Gothic" w:hAnsi="Century Gothic" w:cstheme="minorHAnsi"/>
          <w:sz w:val="22"/>
          <w:szCs w:val="22"/>
          <w:lang w:val="en-GB"/>
        </w:rPr>
        <w:t xml:space="preserve"> AE, </w:t>
      </w:r>
      <w:proofErr w:type="spellStart"/>
      <w:r w:rsidRPr="0009477D">
        <w:rPr>
          <w:rFonts w:ascii="Century Gothic" w:hAnsi="Century Gothic" w:cstheme="minorHAnsi"/>
          <w:sz w:val="22"/>
          <w:szCs w:val="22"/>
          <w:lang w:val="en-GB"/>
        </w:rPr>
        <w:t>Seckman</w:t>
      </w:r>
      <w:proofErr w:type="spellEnd"/>
      <w:r w:rsidRPr="0009477D">
        <w:rPr>
          <w:rFonts w:ascii="Century Gothic" w:hAnsi="Century Gothic" w:cstheme="minorHAnsi"/>
          <w:sz w:val="22"/>
          <w:szCs w:val="22"/>
          <w:lang w:val="en-GB"/>
        </w:rPr>
        <w:t xml:space="preserve"> C. Impact of a Pre</w:t>
      </w:r>
      <w:r w:rsidRPr="0009477D">
        <w:rPr>
          <w:rFonts w:ascii="Century Gothic" w:hAnsi="Century Gothic" w:cstheme="minorHAnsi"/>
          <w:sz w:val="22"/>
          <w:szCs w:val="22"/>
          <w:lang w:val="en-GB"/>
        </w:rPr>
        <w:softHyphen/>
        <w:t xml:space="preserve">scription Drug Monitoring Program on Health Information Exchange Utilization, Prescribing </w:t>
      </w:r>
      <w:proofErr w:type="spellStart"/>
      <w:r w:rsidRPr="0009477D">
        <w:rPr>
          <w:rFonts w:ascii="Century Gothic" w:hAnsi="Century Gothic" w:cstheme="minorHAnsi"/>
          <w:sz w:val="22"/>
          <w:szCs w:val="22"/>
          <w:lang w:val="en-GB"/>
        </w:rPr>
        <w:t>Behaviors</w:t>
      </w:r>
      <w:proofErr w:type="spellEnd"/>
      <w:r w:rsidRPr="0009477D">
        <w:rPr>
          <w:rFonts w:ascii="Century Gothic" w:hAnsi="Century Gothic" w:cstheme="minorHAnsi"/>
          <w:sz w:val="22"/>
          <w:szCs w:val="22"/>
          <w:lang w:val="en-GB"/>
        </w:rPr>
        <w:t>, and Care Coordination in an Emer</w:t>
      </w:r>
      <w:r w:rsidRPr="0009477D">
        <w:rPr>
          <w:rFonts w:ascii="Century Gothic" w:hAnsi="Century Gothic" w:cstheme="minorHAnsi"/>
          <w:sz w:val="22"/>
          <w:szCs w:val="22"/>
          <w:lang w:val="en-GB"/>
        </w:rPr>
        <w:softHyphen/>
        <w:t xml:space="preserve">gency Department. </w:t>
      </w:r>
      <w:proofErr w:type="spellStart"/>
      <w:r w:rsidRPr="0009477D">
        <w:rPr>
          <w:rFonts w:ascii="Century Gothic" w:hAnsi="Century Gothic" w:cstheme="minorHAnsi"/>
          <w:sz w:val="22"/>
          <w:szCs w:val="22"/>
          <w:lang w:val="en-GB"/>
        </w:rPr>
        <w:t>Comput</w:t>
      </w:r>
      <w:proofErr w:type="spellEnd"/>
      <w:r w:rsidRPr="0009477D">
        <w:rPr>
          <w:rFonts w:ascii="Century Gothic" w:hAnsi="Century Gothic" w:cstheme="minorHAnsi"/>
          <w:sz w:val="22"/>
          <w:szCs w:val="22"/>
          <w:lang w:val="en-GB"/>
        </w:rPr>
        <w:t xml:space="preserve"> Inform </w:t>
      </w:r>
      <w:proofErr w:type="spellStart"/>
      <w:r w:rsidRPr="0009477D">
        <w:rPr>
          <w:rFonts w:ascii="Century Gothic" w:hAnsi="Century Gothic" w:cstheme="minorHAnsi"/>
          <w:sz w:val="22"/>
          <w:szCs w:val="22"/>
          <w:lang w:val="en-GB"/>
        </w:rPr>
        <w:t>Nurs</w:t>
      </w:r>
      <w:proofErr w:type="spellEnd"/>
      <w:r w:rsidRPr="0009477D">
        <w:rPr>
          <w:rFonts w:ascii="Century Gothic" w:hAnsi="Century Gothic" w:cstheme="minorHAnsi"/>
          <w:sz w:val="22"/>
          <w:szCs w:val="22"/>
          <w:lang w:val="en-GB"/>
        </w:rPr>
        <w:t xml:space="preserve"> 2019 Dec;37(12):647-54.</w:t>
      </w:r>
    </w:p>
    <w:p w14:paraId="44E18E1F" w14:textId="77777777" w:rsidR="0009477D" w:rsidRPr="0009477D" w:rsidRDefault="0009477D" w:rsidP="0009477D">
      <w:pPr>
        <w:pStyle w:val="paragraph"/>
        <w:spacing w:before="0" w:beforeAutospacing="0" w:after="0" w:afterAutospacing="0"/>
        <w:textAlignment w:val="baseline"/>
        <w:rPr>
          <w:rFonts w:ascii="Century Gothic" w:hAnsi="Century Gothic" w:cstheme="minorHAnsi"/>
          <w:sz w:val="22"/>
          <w:szCs w:val="22"/>
        </w:rPr>
      </w:pPr>
    </w:p>
    <w:p w14:paraId="1C160BE3" w14:textId="77777777" w:rsidR="0009477D" w:rsidRPr="0009477D" w:rsidRDefault="0009477D" w:rsidP="0009477D">
      <w:pPr>
        <w:pStyle w:val="paragraph"/>
        <w:spacing w:before="0" w:beforeAutospacing="0" w:after="0" w:afterAutospacing="0"/>
        <w:textAlignment w:val="baseline"/>
        <w:rPr>
          <w:rStyle w:val="eop"/>
          <w:rFonts w:ascii="Century Gothic" w:eastAsiaTheme="majorEastAsia" w:hAnsi="Century Gothic" w:cstheme="minorHAnsi"/>
          <w:color w:val="000000"/>
          <w:sz w:val="22"/>
          <w:szCs w:val="22"/>
        </w:rPr>
      </w:pPr>
      <w:r w:rsidRPr="0009477D">
        <w:rPr>
          <w:rStyle w:val="normaltextrun"/>
          <w:rFonts w:ascii="Century Gothic" w:hAnsi="Century Gothic" w:cstheme="minorHAnsi"/>
          <w:color w:val="000000"/>
          <w:sz w:val="22"/>
          <w:szCs w:val="22"/>
          <w:lang w:val="en-US"/>
        </w:rPr>
        <w:t xml:space="preserve">Vest, Joshua </w:t>
      </w:r>
      <w:proofErr w:type="gramStart"/>
      <w:r w:rsidRPr="0009477D">
        <w:rPr>
          <w:rStyle w:val="normaltextrun"/>
          <w:rFonts w:ascii="Century Gothic" w:hAnsi="Century Gothic" w:cstheme="minorHAnsi"/>
          <w:color w:val="000000"/>
          <w:sz w:val="22"/>
          <w:szCs w:val="22"/>
          <w:lang w:val="en-US"/>
        </w:rPr>
        <w:t>R. ;</w:t>
      </w:r>
      <w:proofErr w:type="gramEnd"/>
      <w:r w:rsidRPr="0009477D">
        <w:rPr>
          <w:rStyle w:val="normaltextrun"/>
          <w:rFonts w:ascii="Century Gothic" w:hAnsi="Century Gothic" w:cstheme="minorHAnsi"/>
          <w:color w:val="000000"/>
          <w:sz w:val="22"/>
          <w:szCs w:val="22"/>
          <w:lang w:val="en-US"/>
        </w:rPr>
        <w:t>  Kash, Bita A. Differing Strategies to Meet Information-Sharing Needs: Publicly Supported Community Health Information Exchanges Versus Health Systems' Enterprise Health Information Exchanges The Milbank quarterly, 2016, Vol.94 (1), p.77-108 DOI: 10.1111/1468-0009.12180; PMID: 26994710</w:t>
      </w:r>
      <w:r w:rsidRPr="0009477D">
        <w:rPr>
          <w:rStyle w:val="eop"/>
          <w:rFonts w:ascii="Century Gothic" w:eastAsiaTheme="majorEastAsia" w:hAnsi="Century Gothic" w:cstheme="minorHAnsi"/>
          <w:color w:val="000000"/>
          <w:sz w:val="22"/>
          <w:szCs w:val="22"/>
        </w:rPr>
        <w:t> </w:t>
      </w:r>
    </w:p>
    <w:p w14:paraId="14D2C807" w14:textId="77777777" w:rsidR="0009477D" w:rsidRPr="0009477D" w:rsidRDefault="0009477D" w:rsidP="0009477D">
      <w:pPr>
        <w:pStyle w:val="paragraph"/>
        <w:spacing w:before="0" w:beforeAutospacing="0" w:after="0" w:afterAutospacing="0"/>
        <w:textAlignment w:val="baseline"/>
        <w:rPr>
          <w:rFonts w:ascii="Century Gothic" w:hAnsi="Century Gothic" w:cstheme="minorHAnsi"/>
          <w:sz w:val="22"/>
          <w:szCs w:val="22"/>
        </w:rPr>
      </w:pPr>
    </w:p>
    <w:p w14:paraId="75506FBC" w14:textId="77777777" w:rsidR="0009477D" w:rsidRPr="0009477D" w:rsidRDefault="0009477D" w:rsidP="0009477D">
      <w:pPr>
        <w:pStyle w:val="paragraph"/>
        <w:spacing w:before="0" w:beforeAutospacing="0" w:after="0" w:afterAutospacing="0"/>
        <w:textAlignment w:val="baseline"/>
        <w:rPr>
          <w:rStyle w:val="eop"/>
          <w:rFonts w:ascii="Century Gothic" w:eastAsiaTheme="majorEastAsia" w:hAnsi="Century Gothic" w:cstheme="minorHAnsi"/>
          <w:color w:val="000000"/>
          <w:sz w:val="22"/>
          <w:szCs w:val="22"/>
        </w:rPr>
      </w:pPr>
      <w:r w:rsidRPr="0009477D">
        <w:rPr>
          <w:rStyle w:val="normaltextrun"/>
          <w:rFonts w:ascii="Century Gothic" w:hAnsi="Century Gothic" w:cstheme="minorHAnsi"/>
          <w:color w:val="000000"/>
          <w:sz w:val="22"/>
          <w:szCs w:val="22"/>
          <w:lang w:val="en-US"/>
        </w:rPr>
        <w:t xml:space="preserve">Vest, Joshua </w:t>
      </w:r>
      <w:proofErr w:type="gramStart"/>
      <w:r w:rsidRPr="0009477D">
        <w:rPr>
          <w:rStyle w:val="normaltextrun"/>
          <w:rFonts w:ascii="Century Gothic" w:hAnsi="Century Gothic" w:cstheme="minorHAnsi"/>
          <w:color w:val="000000"/>
          <w:sz w:val="22"/>
          <w:szCs w:val="22"/>
          <w:lang w:val="en-US"/>
        </w:rPr>
        <w:t>R. ;</w:t>
      </w:r>
      <w:proofErr w:type="gramEnd"/>
      <w:r w:rsidRPr="0009477D">
        <w:rPr>
          <w:rStyle w:val="normaltextrun"/>
          <w:rFonts w:ascii="Century Gothic" w:hAnsi="Century Gothic" w:cstheme="minorHAnsi"/>
          <w:color w:val="000000"/>
          <w:sz w:val="22"/>
          <w:szCs w:val="22"/>
          <w:lang w:val="en-US"/>
        </w:rPr>
        <w:t xml:space="preserve">  Unruh, Mark Aaron ;  Freedman, Seth ;  Simon, </w:t>
      </w:r>
      <w:proofErr w:type="spellStart"/>
      <w:r w:rsidRPr="0009477D">
        <w:rPr>
          <w:rStyle w:val="normaltextrun"/>
          <w:rFonts w:ascii="Century Gothic" w:hAnsi="Century Gothic" w:cstheme="minorHAnsi"/>
          <w:color w:val="000000"/>
          <w:sz w:val="22"/>
          <w:szCs w:val="22"/>
          <w:lang w:val="en-US"/>
        </w:rPr>
        <w:t>Kosali</w:t>
      </w:r>
      <w:proofErr w:type="spellEnd"/>
      <w:r w:rsidRPr="0009477D">
        <w:rPr>
          <w:rStyle w:val="normaltextrun"/>
          <w:rFonts w:ascii="Century Gothic" w:hAnsi="Century Gothic" w:cstheme="minorHAnsi"/>
          <w:color w:val="000000"/>
          <w:sz w:val="22"/>
          <w:szCs w:val="22"/>
          <w:lang w:val="en-US"/>
        </w:rPr>
        <w:t xml:space="preserve"> Health systems' use of enterprise health information exchange vs single electronic health record vendor environments and unplanned readmissions Journal of the American Medical Informatics Association : JAMIA, 2019, Vol.26 (10), p.989-998 DOI: 10.1093/</w:t>
      </w:r>
      <w:proofErr w:type="spellStart"/>
      <w:r w:rsidRPr="0009477D">
        <w:rPr>
          <w:rStyle w:val="normaltextrun"/>
          <w:rFonts w:ascii="Century Gothic" w:hAnsi="Century Gothic" w:cstheme="minorHAnsi"/>
          <w:color w:val="000000"/>
          <w:sz w:val="22"/>
          <w:szCs w:val="22"/>
          <w:lang w:val="en-US"/>
        </w:rPr>
        <w:t>jamia</w:t>
      </w:r>
      <w:proofErr w:type="spellEnd"/>
      <w:r w:rsidRPr="0009477D">
        <w:rPr>
          <w:rStyle w:val="normaltextrun"/>
          <w:rFonts w:ascii="Century Gothic" w:hAnsi="Century Gothic" w:cstheme="minorHAnsi"/>
          <w:color w:val="000000"/>
          <w:sz w:val="22"/>
          <w:szCs w:val="22"/>
          <w:lang w:val="en-US"/>
        </w:rPr>
        <w:t>/ocz116; PMID: 31348514</w:t>
      </w:r>
      <w:r w:rsidRPr="0009477D">
        <w:rPr>
          <w:rStyle w:val="eop"/>
          <w:rFonts w:ascii="Century Gothic" w:eastAsiaTheme="majorEastAsia" w:hAnsi="Century Gothic" w:cstheme="minorHAnsi"/>
          <w:color w:val="000000"/>
          <w:sz w:val="22"/>
          <w:szCs w:val="22"/>
        </w:rPr>
        <w:t> </w:t>
      </w:r>
    </w:p>
    <w:p w14:paraId="29DB6C2B" w14:textId="77777777" w:rsidR="0009477D" w:rsidRPr="0009477D" w:rsidRDefault="0009477D" w:rsidP="0009477D">
      <w:pPr>
        <w:pStyle w:val="paragraph"/>
        <w:spacing w:before="0" w:beforeAutospacing="0" w:after="0" w:afterAutospacing="0"/>
        <w:textAlignment w:val="baseline"/>
        <w:rPr>
          <w:rStyle w:val="eop"/>
          <w:rFonts w:ascii="Century Gothic" w:eastAsiaTheme="majorEastAsia" w:hAnsi="Century Gothic" w:cstheme="minorHAnsi"/>
          <w:color w:val="000000"/>
          <w:sz w:val="22"/>
          <w:szCs w:val="22"/>
        </w:rPr>
      </w:pPr>
    </w:p>
    <w:p w14:paraId="61D1849C" w14:textId="77777777" w:rsidR="0009477D" w:rsidRPr="0009477D" w:rsidRDefault="0009477D" w:rsidP="0009477D">
      <w:pPr>
        <w:pStyle w:val="paragraph"/>
        <w:spacing w:before="0" w:beforeAutospacing="0" w:after="0" w:afterAutospacing="0"/>
        <w:textAlignment w:val="baseline"/>
        <w:rPr>
          <w:rFonts w:ascii="Century Gothic" w:hAnsi="Century Gothic" w:cstheme="minorHAnsi"/>
          <w:sz w:val="22"/>
          <w:szCs w:val="22"/>
        </w:rPr>
      </w:pPr>
      <w:r w:rsidRPr="0009477D">
        <w:rPr>
          <w:rFonts w:ascii="Century Gothic" w:hAnsi="Century Gothic" w:cstheme="minorHAnsi"/>
          <w:sz w:val="22"/>
          <w:szCs w:val="22"/>
          <w:lang w:val="en-GB"/>
        </w:rPr>
        <w:t xml:space="preserve">Yeung T. Local health department adoption of electronic health records and health information exchanges and its impact on population health. Int J Med Inform 2019 </w:t>
      </w:r>
      <w:proofErr w:type="gramStart"/>
      <w:r w:rsidRPr="0009477D">
        <w:rPr>
          <w:rFonts w:ascii="Century Gothic" w:hAnsi="Century Gothic" w:cstheme="minorHAnsi"/>
          <w:sz w:val="22"/>
          <w:szCs w:val="22"/>
          <w:lang w:val="en-GB"/>
        </w:rPr>
        <w:t>Aug;128:1</w:t>
      </w:r>
      <w:proofErr w:type="gramEnd"/>
      <w:r w:rsidRPr="0009477D">
        <w:rPr>
          <w:rFonts w:ascii="Century Gothic" w:hAnsi="Century Gothic" w:cstheme="minorHAnsi"/>
          <w:sz w:val="22"/>
          <w:szCs w:val="22"/>
          <w:lang w:val="en-GB"/>
        </w:rPr>
        <w:t>-6.</w:t>
      </w:r>
    </w:p>
    <w:p w14:paraId="5B713538" w14:textId="55033DA0" w:rsidR="00214D2B" w:rsidRPr="0009477D" w:rsidRDefault="00214D2B" w:rsidP="00435F76">
      <w:pPr>
        <w:spacing w:line="276" w:lineRule="auto"/>
        <w:rPr>
          <w:rFonts w:ascii="Century Gothic" w:eastAsia="Lato" w:hAnsi="Century Gothic" w:cstheme="minorHAnsi"/>
          <w:sz w:val="20"/>
          <w:szCs w:val="20"/>
        </w:rPr>
      </w:pPr>
    </w:p>
    <w:p w14:paraId="211516DB" w14:textId="77777777" w:rsidR="00AF3645" w:rsidRPr="0009477D" w:rsidRDefault="00AF3645" w:rsidP="00214D2B">
      <w:pPr>
        <w:spacing w:line="276" w:lineRule="auto"/>
        <w:rPr>
          <w:rFonts w:ascii="Century Gothic" w:eastAsia="Lato" w:hAnsi="Century Gothic" w:cstheme="minorHAnsi"/>
          <w:sz w:val="20"/>
          <w:szCs w:val="20"/>
        </w:rPr>
      </w:pPr>
    </w:p>
    <w:p w14:paraId="6D850ED5" w14:textId="77777777" w:rsidR="00214D2B" w:rsidRPr="0009477D" w:rsidRDefault="00214D2B">
      <w:pPr>
        <w:rPr>
          <w:rFonts w:ascii="Century Gothic" w:hAnsi="Century Gothic" w:cstheme="minorHAnsi"/>
          <w:sz w:val="20"/>
          <w:szCs w:val="20"/>
        </w:rPr>
      </w:pPr>
    </w:p>
    <w:p w14:paraId="59ED4B22" w14:textId="77777777" w:rsidR="00435F76" w:rsidRPr="0009477D" w:rsidRDefault="00435F76">
      <w:pPr>
        <w:rPr>
          <w:rFonts w:ascii="Century Gothic" w:hAnsi="Century Gothic" w:cstheme="minorHAnsi"/>
          <w:sz w:val="20"/>
          <w:szCs w:val="20"/>
        </w:rPr>
      </w:pPr>
    </w:p>
    <w:sectPr w:rsidR="00435F76" w:rsidRPr="0009477D" w:rsidSect="00A0556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E0D3" w14:textId="77777777" w:rsidR="003E7472" w:rsidRDefault="003E7472" w:rsidP="00214D2B">
      <w:r>
        <w:separator/>
      </w:r>
    </w:p>
  </w:endnote>
  <w:endnote w:type="continuationSeparator" w:id="0">
    <w:p w14:paraId="67E06459" w14:textId="77777777" w:rsidR="003E7472" w:rsidRDefault="003E7472" w:rsidP="002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Lato,Segoe UI">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entury Gothic Pro">
    <w:altName w:val="Calibri"/>
    <w:panose1 w:val="00000000000000000000"/>
    <w:charset w:val="00"/>
    <w:family w:val="swiss"/>
    <w:notTrueType/>
    <w:pitch w:val="variable"/>
    <w:sig w:usb0="A00000AF" w:usb1="5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0B50" w14:textId="380F4338" w:rsidR="00214D2B" w:rsidRDefault="00214D2B">
    <w:pPr>
      <w:pStyle w:val="Footer"/>
    </w:pPr>
    <w:r>
      <w:rPr>
        <w:rFonts w:ascii="Helvetica" w:eastAsia="Times New Roman" w:hAnsi="Helvetica" w:cs="Helvetica"/>
        <w:noProof/>
        <w:color w:val="000000"/>
        <w:sz w:val="18"/>
        <w:szCs w:val="18"/>
      </w:rPr>
      <mc:AlternateContent>
        <mc:Choice Requires="wps">
          <w:drawing>
            <wp:anchor distT="0" distB="0" distL="114300" distR="114300" simplePos="0" relativeHeight="251662336" behindDoc="1" locked="1" layoutInCell="1" allowOverlap="1" wp14:anchorId="168BB6BE" wp14:editId="3C928646">
              <wp:simplePos x="0" y="0"/>
              <wp:positionH relativeFrom="column">
                <wp:posOffset>-908050</wp:posOffset>
              </wp:positionH>
              <wp:positionV relativeFrom="page">
                <wp:posOffset>9856470</wp:posOffset>
              </wp:positionV>
              <wp:extent cx="8028940" cy="903605"/>
              <wp:effectExtent l="0" t="0" r="0" b="0"/>
              <wp:wrapNone/>
              <wp:docPr id="1" name="Rectangle 1"/>
              <wp:cNvGraphicFramePr/>
              <a:graphic xmlns:a="http://schemas.openxmlformats.org/drawingml/2006/main">
                <a:graphicData uri="http://schemas.microsoft.com/office/word/2010/wordprocessingShape">
                  <wps:wsp>
                    <wps:cNvSpPr/>
                    <wps:spPr>
                      <a:xfrm>
                        <a:off x="0" y="0"/>
                        <a:ext cx="8028940" cy="90360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4B6FC" id="Rectangle 1" o:spid="_x0000_s1026" style="position:absolute;margin-left:-71.5pt;margin-top:776.1pt;width:632.2pt;height:7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" fillcolor="#f2f2f2 [3052]" stroked="f" strokeweight="1pt">
              <w10:wrap anchory="page"/>
              <w10:anchorlock/>
            </v:rect>
          </w:pict>
        </mc:Fallback>
      </mc:AlternateContent>
    </w:r>
    <w:r>
      <w:rPr>
        <w:rFonts w:ascii="Century Gothic" w:hAnsi="Century Gothic" w:cs="Times New Roman"/>
        <w:noProof/>
        <w:color w:val="767171" w:themeColor="background2" w:themeShade="80"/>
        <w:sz w:val="15"/>
        <w:szCs w:val="15"/>
      </w:rPr>
      <w:drawing>
        <wp:anchor distT="0" distB="0" distL="114300" distR="114300" simplePos="0" relativeHeight="251663360" behindDoc="1" locked="1" layoutInCell="1" allowOverlap="1" wp14:anchorId="37AD0DAF" wp14:editId="24577FB5">
          <wp:simplePos x="0" y="0"/>
          <wp:positionH relativeFrom="column">
            <wp:posOffset>-560070</wp:posOffset>
          </wp:positionH>
          <wp:positionV relativeFrom="page">
            <wp:posOffset>10034270</wp:posOffset>
          </wp:positionV>
          <wp:extent cx="6832600" cy="4305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6832600" cy="430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D2F3" w14:textId="77777777" w:rsidR="003E7472" w:rsidRDefault="003E7472" w:rsidP="00214D2B">
      <w:r>
        <w:separator/>
      </w:r>
    </w:p>
  </w:footnote>
  <w:footnote w:type="continuationSeparator" w:id="0">
    <w:p w14:paraId="3CF41A4D" w14:textId="77777777" w:rsidR="003E7472" w:rsidRDefault="003E7472" w:rsidP="00214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9216" w14:textId="25684CEE" w:rsidR="005A6841" w:rsidRPr="005A6841" w:rsidRDefault="005A6841" w:rsidP="005A6841">
    <w:pPr>
      <w:pStyle w:val="Header"/>
      <w:rPr>
        <w:color w:val="FFFFFF" w:themeColor="background1"/>
        <w:sz w:val="40"/>
        <w:szCs w:val="40"/>
      </w:rPr>
    </w:pPr>
    <w:r w:rsidRPr="005A6841">
      <w:rPr>
        <w:color w:val="FFFFFF" w:themeColor="background1"/>
        <w:sz w:val="40"/>
        <w:szCs w:val="40"/>
      </w:rPr>
      <w:t xml:space="preserve">Connected Care </w:t>
    </w:r>
    <w:r>
      <w:rPr>
        <w:color w:val="FFFFFF" w:themeColor="background1"/>
        <w:sz w:val="40"/>
        <w:szCs w:val="40"/>
      </w:rPr>
      <w:t>Project</w:t>
    </w:r>
  </w:p>
  <w:p w14:paraId="4419DF35" w14:textId="2B6BF052" w:rsidR="00214D2B" w:rsidRPr="005A6841" w:rsidRDefault="005A6841" w:rsidP="005A6841">
    <w:pPr>
      <w:pStyle w:val="Header"/>
      <w:rPr>
        <w:color w:val="FFFFFF" w:themeColor="background1"/>
        <w:sz w:val="40"/>
        <w:szCs w:val="40"/>
      </w:rPr>
    </w:pPr>
    <w:r>
      <w:rPr>
        <w:color w:val="FFFFFF" w:themeColor="background1"/>
        <w:sz w:val="40"/>
        <w:szCs w:val="40"/>
      </w:rPr>
      <w:t>Value Proposition</w:t>
    </w:r>
  </w:p>
  <w:p w14:paraId="798B2DB5" w14:textId="23212E5A" w:rsidR="00214D2B" w:rsidRDefault="00214D2B">
    <w:pPr>
      <w:pStyle w:val="Header"/>
    </w:pPr>
  </w:p>
  <w:p w14:paraId="2F2BBD56" w14:textId="77777777" w:rsidR="00214D2B" w:rsidRDefault="00214D2B">
    <w:pPr>
      <w:pStyle w:val="Header"/>
    </w:pPr>
  </w:p>
  <w:p w14:paraId="19332984" w14:textId="77777777" w:rsidR="00214D2B" w:rsidRDefault="00214D2B">
    <w:pPr>
      <w:pStyle w:val="Header"/>
    </w:pPr>
  </w:p>
  <w:p w14:paraId="6DFDE93C" w14:textId="77777777" w:rsidR="00214D2B" w:rsidRDefault="00214D2B">
    <w:pPr>
      <w:pStyle w:val="Header"/>
    </w:pPr>
  </w:p>
  <w:p w14:paraId="51E3DFD5" w14:textId="60254B1F" w:rsidR="00214D2B" w:rsidRDefault="00214D2B">
    <w:pPr>
      <w:pStyle w:val="Header"/>
    </w:pPr>
    <w:r>
      <w:rPr>
        <w:rFonts w:ascii="Times New Roman"/>
        <w:noProof/>
      </w:rPr>
      <w:drawing>
        <wp:anchor distT="0" distB="0" distL="114300" distR="114300" simplePos="0" relativeHeight="251659264" behindDoc="1" locked="1" layoutInCell="1" allowOverlap="1" wp14:anchorId="256E9636" wp14:editId="6D1EABEC">
          <wp:simplePos x="0" y="0"/>
          <wp:positionH relativeFrom="column">
            <wp:posOffset>-1112520</wp:posOffset>
          </wp:positionH>
          <wp:positionV relativeFrom="page">
            <wp:posOffset>-737235</wp:posOffset>
          </wp:positionV>
          <wp:extent cx="8341995" cy="2467610"/>
          <wp:effectExtent l="0" t="0" r="1905" b="0"/>
          <wp:wrapNone/>
          <wp:docPr id="22" name="Picture 2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1"/>
                  <a:stretch>
                    <a:fillRect/>
                  </a:stretch>
                </pic:blipFill>
                <pic:spPr>
                  <a:xfrm>
                    <a:off x="0" y="0"/>
                    <a:ext cx="8341995" cy="24676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3266" w14:textId="77777777" w:rsidR="00A05560" w:rsidRDefault="00A05560">
    <w:pPr>
      <w:pStyle w:val="Header"/>
    </w:pPr>
  </w:p>
  <w:p w14:paraId="1A3F5BE2" w14:textId="77777777" w:rsidR="00A05560" w:rsidRDefault="00A05560">
    <w:pPr>
      <w:pStyle w:val="Header"/>
    </w:pPr>
  </w:p>
  <w:p w14:paraId="0BB4A514" w14:textId="77777777" w:rsidR="00A05560" w:rsidRDefault="00A05560">
    <w:pPr>
      <w:pStyle w:val="Header"/>
    </w:pPr>
  </w:p>
  <w:p w14:paraId="2C2D97AE" w14:textId="77777777" w:rsidR="00A05560" w:rsidRDefault="00A05560">
    <w:pPr>
      <w:pStyle w:val="Header"/>
    </w:pPr>
  </w:p>
  <w:p w14:paraId="6C20B684" w14:textId="77777777" w:rsidR="00A05560" w:rsidRDefault="00A05560">
    <w:pPr>
      <w:pStyle w:val="Header"/>
    </w:pPr>
  </w:p>
  <w:p w14:paraId="3E06CAA8" w14:textId="77777777" w:rsidR="00A05560" w:rsidRDefault="00A05560">
    <w:pPr>
      <w:pStyle w:val="Header"/>
    </w:pPr>
  </w:p>
  <w:p w14:paraId="25996DAB" w14:textId="77777777" w:rsidR="00A05560" w:rsidRDefault="00A05560">
    <w:pPr>
      <w:pStyle w:val="Header"/>
    </w:pPr>
  </w:p>
  <w:p w14:paraId="0A10FC69" w14:textId="1C02277A" w:rsidR="00A05560" w:rsidRDefault="00A05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73BE" w14:textId="77777777" w:rsidR="00A05560" w:rsidRDefault="00A05560">
    <w:pPr>
      <w:pStyle w:val="Header"/>
    </w:pPr>
  </w:p>
  <w:p w14:paraId="121833F1" w14:textId="77777777" w:rsidR="00A05560" w:rsidRDefault="00A05560">
    <w:pPr>
      <w:pStyle w:val="Header"/>
    </w:pPr>
  </w:p>
  <w:p w14:paraId="458D57F4" w14:textId="77777777" w:rsidR="00A05560" w:rsidRDefault="00A05560">
    <w:pPr>
      <w:pStyle w:val="Header"/>
    </w:pPr>
  </w:p>
  <w:p w14:paraId="5A73F658" w14:textId="77777777" w:rsidR="00A05560" w:rsidRDefault="00A05560">
    <w:pPr>
      <w:pStyle w:val="Header"/>
    </w:pPr>
  </w:p>
  <w:p w14:paraId="2DBE6B7B" w14:textId="77777777" w:rsidR="00A05560" w:rsidRDefault="00A05560">
    <w:pPr>
      <w:pStyle w:val="Header"/>
    </w:pPr>
  </w:p>
  <w:p w14:paraId="7D2E1B88" w14:textId="77777777" w:rsidR="00A05560" w:rsidRDefault="00A05560">
    <w:pPr>
      <w:pStyle w:val="Header"/>
    </w:pPr>
  </w:p>
  <w:p w14:paraId="6CE3260B" w14:textId="77777777" w:rsidR="00A05560" w:rsidRDefault="00A05560">
    <w:pPr>
      <w:pStyle w:val="Header"/>
    </w:pPr>
  </w:p>
  <w:p w14:paraId="613754BA" w14:textId="77777777" w:rsidR="00A05560" w:rsidRDefault="00A05560">
    <w:pPr>
      <w:pStyle w:val="Header"/>
    </w:pPr>
    <w:r>
      <w:rPr>
        <w:rFonts w:ascii="Times New Roman"/>
        <w:noProof/>
      </w:rPr>
      <w:drawing>
        <wp:anchor distT="0" distB="0" distL="114300" distR="114300" simplePos="0" relativeHeight="251668480" behindDoc="1" locked="1" layoutInCell="1" allowOverlap="1" wp14:anchorId="22BA5098" wp14:editId="60B295B5">
          <wp:simplePos x="0" y="0"/>
          <wp:positionH relativeFrom="column">
            <wp:posOffset>-1112520</wp:posOffset>
          </wp:positionH>
          <wp:positionV relativeFrom="page">
            <wp:posOffset>-737235</wp:posOffset>
          </wp:positionV>
          <wp:extent cx="8341995" cy="2467610"/>
          <wp:effectExtent l="0" t="0" r="1905" b="0"/>
          <wp:wrapNone/>
          <wp:docPr id="17" name="Picture 1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1"/>
                  <a:stretch>
                    <a:fillRect/>
                  </a:stretch>
                </pic:blipFill>
                <pic:spPr>
                  <a:xfrm>
                    <a:off x="0" y="0"/>
                    <a:ext cx="8341995" cy="2467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1295"/>
    <w:multiLevelType w:val="hybridMultilevel"/>
    <w:tmpl w:val="1090DBE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002633"/>
    <w:multiLevelType w:val="hybridMultilevel"/>
    <w:tmpl w:val="B51ECE1A"/>
    <w:lvl w:ilvl="0" w:tplc="0C09000F">
      <w:start w:val="1"/>
      <w:numFmt w:val="decimal"/>
      <w:lvlText w:val="%1."/>
      <w:lvlJc w:val="left"/>
      <w:pPr>
        <w:ind w:left="360" w:hanging="360"/>
      </w:pPr>
    </w:lvl>
    <w:lvl w:ilvl="1" w:tplc="6A5A58F0">
      <w:numFmt w:val="bullet"/>
      <w:lvlText w:val="–"/>
      <w:lvlJc w:val="left"/>
      <w:pPr>
        <w:ind w:left="1080" w:hanging="360"/>
      </w:pPr>
      <w:rPr>
        <w:rFonts w:ascii="Lato" w:eastAsia="Lato" w:hAnsi="Lato" w:cs="Lato"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8B86BFC"/>
    <w:multiLevelType w:val="multilevel"/>
    <w:tmpl w:val="FFE6BA1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4F884EBD"/>
    <w:multiLevelType w:val="hybridMultilevel"/>
    <w:tmpl w:val="A08A47F2"/>
    <w:lvl w:ilvl="0" w:tplc="81E0FE06">
      <w:start w:val="1"/>
      <w:numFmt w:val="decimal"/>
      <w:lvlText w:val="%1."/>
      <w:lvlJc w:val="left"/>
      <w:pPr>
        <w:ind w:left="360" w:hanging="360"/>
      </w:pPr>
      <w:rPr>
        <w:rFonts w:ascii="Lato,Segoe UI" w:hAnsi="Lato,Segoe UI" w:hint="default"/>
      </w:rPr>
    </w:lvl>
    <w:lvl w:ilvl="1" w:tplc="C974DB44">
      <w:start w:val="1"/>
      <w:numFmt w:val="lowerLetter"/>
      <w:lvlText w:val="%2."/>
      <w:lvlJc w:val="left"/>
      <w:pPr>
        <w:ind w:left="720" w:hanging="360"/>
      </w:pPr>
    </w:lvl>
    <w:lvl w:ilvl="2" w:tplc="7A082B20">
      <w:start w:val="1"/>
      <w:numFmt w:val="lowerRoman"/>
      <w:lvlText w:val="%3."/>
      <w:lvlJc w:val="right"/>
      <w:pPr>
        <w:ind w:left="1440" w:hanging="180"/>
      </w:pPr>
    </w:lvl>
    <w:lvl w:ilvl="3" w:tplc="D9EA945C">
      <w:start w:val="1"/>
      <w:numFmt w:val="decimal"/>
      <w:lvlText w:val="%4."/>
      <w:lvlJc w:val="left"/>
      <w:pPr>
        <w:ind w:left="2160" w:hanging="360"/>
      </w:pPr>
    </w:lvl>
    <w:lvl w:ilvl="4" w:tplc="23305390">
      <w:start w:val="1"/>
      <w:numFmt w:val="lowerLetter"/>
      <w:lvlText w:val="%5."/>
      <w:lvlJc w:val="left"/>
      <w:pPr>
        <w:ind w:left="2880" w:hanging="360"/>
      </w:pPr>
    </w:lvl>
    <w:lvl w:ilvl="5" w:tplc="3330228E">
      <w:start w:val="1"/>
      <w:numFmt w:val="lowerRoman"/>
      <w:lvlText w:val="%6."/>
      <w:lvlJc w:val="right"/>
      <w:pPr>
        <w:ind w:left="3600" w:hanging="180"/>
      </w:pPr>
    </w:lvl>
    <w:lvl w:ilvl="6" w:tplc="EDCAE616">
      <w:start w:val="1"/>
      <w:numFmt w:val="decimal"/>
      <w:lvlText w:val="%7."/>
      <w:lvlJc w:val="left"/>
      <w:pPr>
        <w:ind w:left="4320" w:hanging="360"/>
      </w:pPr>
    </w:lvl>
    <w:lvl w:ilvl="7" w:tplc="9176E304">
      <w:start w:val="1"/>
      <w:numFmt w:val="lowerLetter"/>
      <w:lvlText w:val="%8."/>
      <w:lvlJc w:val="left"/>
      <w:pPr>
        <w:ind w:left="5040" w:hanging="360"/>
      </w:pPr>
    </w:lvl>
    <w:lvl w:ilvl="8" w:tplc="BC3025F0">
      <w:start w:val="1"/>
      <w:numFmt w:val="lowerRoman"/>
      <w:lvlText w:val="%9."/>
      <w:lvlJc w:val="right"/>
      <w:pPr>
        <w:ind w:left="5760" w:hanging="180"/>
      </w:pPr>
    </w:lvl>
  </w:abstractNum>
  <w:abstractNum w:abstractNumId="4" w15:restartNumberingAfterBreak="0">
    <w:nsid w:val="6D2C63FA"/>
    <w:multiLevelType w:val="hybridMultilevel"/>
    <w:tmpl w:val="50BE0C32"/>
    <w:lvl w:ilvl="0" w:tplc="19344D12">
      <w:start w:val="1"/>
      <w:numFmt w:val="bullet"/>
      <w:lvlText w:val=""/>
      <w:lvlJc w:val="left"/>
      <w:pPr>
        <w:ind w:left="720" w:hanging="360"/>
      </w:pPr>
      <w:rPr>
        <w:rFonts w:ascii="Symbol" w:hAnsi="Symbol" w:hint="default"/>
      </w:rPr>
    </w:lvl>
    <w:lvl w:ilvl="1" w:tplc="1820C2F2">
      <w:start w:val="1"/>
      <w:numFmt w:val="bullet"/>
      <w:lvlText w:val="o"/>
      <w:lvlJc w:val="left"/>
      <w:pPr>
        <w:ind w:left="1440" w:hanging="360"/>
      </w:pPr>
      <w:rPr>
        <w:rFonts w:ascii="Courier New" w:hAnsi="Courier New" w:hint="default"/>
      </w:rPr>
    </w:lvl>
    <w:lvl w:ilvl="2" w:tplc="3C0E6D1A">
      <w:start w:val="1"/>
      <w:numFmt w:val="bullet"/>
      <w:lvlText w:val=""/>
      <w:lvlJc w:val="left"/>
      <w:pPr>
        <w:ind w:left="2160" w:hanging="360"/>
      </w:pPr>
      <w:rPr>
        <w:rFonts w:ascii="Wingdings" w:hAnsi="Wingdings" w:hint="default"/>
      </w:rPr>
    </w:lvl>
    <w:lvl w:ilvl="3" w:tplc="ED7C6C04">
      <w:start w:val="1"/>
      <w:numFmt w:val="bullet"/>
      <w:lvlText w:val=""/>
      <w:lvlJc w:val="left"/>
      <w:pPr>
        <w:ind w:left="2880" w:hanging="360"/>
      </w:pPr>
      <w:rPr>
        <w:rFonts w:ascii="Symbol" w:hAnsi="Symbol" w:hint="default"/>
      </w:rPr>
    </w:lvl>
    <w:lvl w:ilvl="4" w:tplc="3BB29E24">
      <w:start w:val="1"/>
      <w:numFmt w:val="bullet"/>
      <w:lvlText w:val="o"/>
      <w:lvlJc w:val="left"/>
      <w:pPr>
        <w:ind w:left="3600" w:hanging="360"/>
      </w:pPr>
      <w:rPr>
        <w:rFonts w:ascii="Courier New" w:hAnsi="Courier New" w:hint="default"/>
      </w:rPr>
    </w:lvl>
    <w:lvl w:ilvl="5" w:tplc="529EECD4">
      <w:start w:val="1"/>
      <w:numFmt w:val="bullet"/>
      <w:lvlText w:val=""/>
      <w:lvlJc w:val="left"/>
      <w:pPr>
        <w:ind w:left="4320" w:hanging="360"/>
      </w:pPr>
      <w:rPr>
        <w:rFonts w:ascii="Wingdings" w:hAnsi="Wingdings" w:hint="default"/>
      </w:rPr>
    </w:lvl>
    <w:lvl w:ilvl="6" w:tplc="49E0743E">
      <w:start w:val="1"/>
      <w:numFmt w:val="bullet"/>
      <w:lvlText w:val=""/>
      <w:lvlJc w:val="left"/>
      <w:pPr>
        <w:ind w:left="5040" w:hanging="360"/>
      </w:pPr>
      <w:rPr>
        <w:rFonts w:ascii="Symbol" w:hAnsi="Symbol" w:hint="default"/>
      </w:rPr>
    </w:lvl>
    <w:lvl w:ilvl="7" w:tplc="FC9441CE">
      <w:start w:val="1"/>
      <w:numFmt w:val="bullet"/>
      <w:lvlText w:val="o"/>
      <w:lvlJc w:val="left"/>
      <w:pPr>
        <w:ind w:left="5760" w:hanging="360"/>
      </w:pPr>
      <w:rPr>
        <w:rFonts w:ascii="Courier New" w:hAnsi="Courier New" w:hint="default"/>
      </w:rPr>
    </w:lvl>
    <w:lvl w:ilvl="8" w:tplc="F628F964">
      <w:start w:val="1"/>
      <w:numFmt w:val="bullet"/>
      <w:lvlText w:val=""/>
      <w:lvlJc w:val="left"/>
      <w:pPr>
        <w:ind w:left="6480" w:hanging="360"/>
      </w:pPr>
      <w:rPr>
        <w:rFonts w:ascii="Wingdings" w:hAnsi="Wingdings" w:hint="default"/>
      </w:rPr>
    </w:lvl>
  </w:abstractNum>
  <w:abstractNum w:abstractNumId="5" w15:restartNumberingAfterBreak="0">
    <w:nsid w:val="70AE09BD"/>
    <w:multiLevelType w:val="hybridMultilevel"/>
    <w:tmpl w:val="D89C8EF0"/>
    <w:lvl w:ilvl="0" w:tplc="154C6CF0">
      <w:start w:val="1"/>
      <w:numFmt w:val="decimal"/>
      <w:lvlText w:val="%1."/>
      <w:lvlJc w:val="left"/>
      <w:pPr>
        <w:ind w:left="1080" w:hanging="360"/>
      </w:pPr>
      <w:rPr>
        <w:rFonts w:hint="default"/>
        <w:color w:val="3B3838" w:themeColor="background2" w:themeShade="4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29143149">
    <w:abstractNumId w:val="3"/>
  </w:num>
  <w:num w:numId="2" w16cid:durableId="1872184644">
    <w:abstractNumId w:val="4"/>
  </w:num>
  <w:num w:numId="3" w16cid:durableId="339889706">
    <w:abstractNumId w:val="1"/>
  </w:num>
  <w:num w:numId="4" w16cid:durableId="1941251477">
    <w:abstractNumId w:val="0"/>
  </w:num>
  <w:num w:numId="5" w16cid:durableId="1971285092">
    <w:abstractNumId w:val="2"/>
  </w:num>
  <w:num w:numId="6" w16cid:durableId="429087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2B"/>
    <w:rsid w:val="0009477D"/>
    <w:rsid w:val="000E15DC"/>
    <w:rsid w:val="0011472E"/>
    <w:rsid w:val="0015609A"/>
    <w:rsid w:val="00176B46"/>
    <w:rsid w:val="001B191C"/>
    <w:rsid w:val="00214D2B"/>
    <w:rsid w:val="003767BA"/>
    <w:rsid w:val="00377071"/>
    <w:rsid w:val="003E7472"/>
    <w:rsid w:val="00435F76"/>
    <w:rsid w:val="00510118"/>
    <w:rsid w:val="005A6841"/>
    <w:rsid w:val="006041E0"/>
    <w:rsid w:val="006C72FD"/>
    <w:rsid w:val="00A05560"/>
    <w:rsid w:val="00AF3645"/>
    <w:rsid w:val="00B71BBA"/>
    <w:rsid w:val="00C17C0E"/>
    <w:rsid w:val="00C649B9"/>
    <w:rsid w:val="00CD1EC3"/>
    <w:rsid w:val="00D7401B"/>
    <w:rsid w:val="00E950DF"/>
    <w:rsid w:val="00ED74AD"/>
    <w:rsid w:val="00F64F30"/>
    <w:rsid w:val="00FC58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A8D398B"/>
  <w15:chartTrackingRefBased/>
  <w15:docId w15:val="{0C8D5DC2-1F95-DA4F-B60F-7A26CD31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4D2B"/>
    <w:pPr>
      <w:outlineLvl w:val="1"/>
    </w:pPr>
    <w:rPr>
      <w:rFonts w:ascii="Century Gothic Pro" w:hAnsi="Century Gothic Pro"/>
      <w:b/>
      <w:bCs/>
      <w:color w:val="1995A3"/>
      <w:szCs w:val="36"/>
    </w:rPr>
  </w:style>
  <w:style w:type="paragraph" w:styleId="Heading4">
    <w:name w:val="heading 4"/>
    <w:basedOn w:val="Normal"/>
    <w:next w:val="Normal"/>
    <w:link w:val="Heading4Char"/>
    <w:uiPriority w:val="9"/>
    <w:semiHidden/>
    <w:unhideWhenUsed/>
    <w:qFormat/>
    <w:rsid w:val="00214D2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4">
    <w:name w:val="Grid Table 4 Accent 4"/>
    <w:basedOn w:val="TableNormal"/>
    <w:uiPriority w:val="49"/>
    <w:rsid w:val="00B71BBA"/>
    <w:rPr>
      <w:sz w:val="22"/>
      <w:szCs w:val="22"/>
    </w:rPr>
    <w:tblPr>
      <w:tblStyleRowBandSize w:val="1"/>
      <w:tblStyleColBandSize w:val="1"/>
      <w:tblBorders>
        <w:top w:val="single" w:sz="4" w:space="0" w:color="4EBAB7"/>
        <w:left w:val="single" w:sz="4" w:space="0" w:color="4EBAB7"/>
        <w:bottom w:val="single" w:sz="4" w:space="0" w:color="4EBAB7"/>
        <w:right w:val="single" w:sz="4" w:space="0" w:color="4EBAB7"/>
        <w:insideH w:val="single" w:sz="4" w:space="0" w:color="4EBAB7"/>
        <w:insideV w:val="single" w:sz="4" w:space="0" w:color="4EBAB7"/>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Style1">
    <w:name w:val="Style1"/>
    <w:basedOn w:val="TableNormal"/>
    <w:uiPriority w:val="99"/>
    <w:rsid w:val="00B71BBA"/>
    <w:rPr>
      <w:sz w:val="22"/>
      <w:szCs w:val="22"/>
    </w:rPr>
    <w:tblPr/>
  </w:style>
  <w:style w:type="paragraph" w:styleId="Header">
    <w:name w:val="header"/>
    <w:basedOn w:val="Normal"/>
    <w:link w:val="HeaderChar"/>
    <w:uiPriority w:val="99"/>
    <w:unhideWhenUsed/>
    <w:rsid w:val="00214D2B"/>
    <w:pPr>
      <w:tabs>
        <w:tab w:val="center" w:pos="4513"/>
        <w:tab w:val="right" w:pos="9026"/>
      </w:tabs>
    </w:pPr>
  </w:style>
  <w:style w:type="character" w:customStyle="1" w:styleId="HeaderChar">
    <w:name w:val="Header Char"/>
    <w:basedOn w:val="DefaultParagraphFont"/>
    <w:link w:val="Header"/>
    <w:uiPriority w:val="99"/>
    <w:rsid w:val="00214D2B"/>
  </w:style>
  <w:style w:type="paragraph" w:styleId="Footer">
    <w:name w:val="footer"/>
    <w:basedOn w:val="Normal"/>
    <w:link w:val="FooterChar"/>
    <w:uiPriority w:val="99"/>
    <w:unhideWhenUsed/>
    <w:rsid w:val="00214D2B"/>
    <w:pPr>
      <w:tabs>
        <w:tab w:val="center" w:pos="4513"/>
        <w:tab w:val="right" w:pos="9026"/>
      </w:tabs>
    </w:pPr>
  </w:style>
  <w:style w:type="character" w:customStyle="1" w:styleId="FooterChar">
    <w:name w:val="Footer Char"/>
    <w:basedOn w:val="DefaultParagraphFont"/>
    <w:link w:val="Footer"/>
    <w:uiPriority w:val="99"/>
    <w:rsid w:val="00214D2B"/>
  </w:style>
  <w:style w:type="character" w:customStyle="1" w:styleId="Heading2Char">
    <w:name w:val="Heading 2 Char"/>
    <w:basedOn w:val="DefaultParagraphFont"/>
    <w:link w:val="Heading2"/>
    <w:uiPriority w:val="9"/>
    <w:rsid w:val="00214D2B"/>
    <w:rPr>
      <w:rFonts w:ascii="Century Gothic Pro" w:hAnsi="Century Gothic Pro"/>
      <w:b/>
      <w:bCs/>
      <w:color w:val="1995A3"/>
      <w:szCs w:val="36"/>
      <w:lang w:val="en-AU"/>
    </w:rPr>
  </w:style>
  <w:style w:type="character" w:customStyle="1" w:styleId="Heading4Char">
    <w:name w:val="Heading 4 Char"/>
    <w:basedOn w:val="DefaultParagraphFont"/>
    <w:link w:val="Heading4"/>
    <w:uiPriority w:val="9"/>
    <w:semiHidden/>
    <w:rsid w:val="00214D2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14D2B"/>
    <w:pPr>
      <w:ind w:left="720"/>
      <w:contextualSpacing/>
    </w:pPr>
    <w:rPr>
      <w:rFonts w:ascii="Century Gothic" w:hAnsi="Century Gothic"/>
      <w:sz w:val="20"/>
    </w:rPr>
  </w:style>
  <w:style w:type="paragraph" w:customStyle="1" w:styleId="paragraph">
    <w:name w:val="paragraph"/>
    <w:basedOn w:val="Normal"/>
    <w:rsid w:val="0009477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9477D"/>
  </w:style>
  <w:style w:type="character" w:customStyle="1" w:styleId="eop">
    <w:name w:val="eop"/>
    <w:basedOn w:val="DefaultParagraphFont"/>
    <w:rsid w:val="0009477D"/>
  </w:style>
  <w:style w:type="character" w:styleId="Hyperlink">
    <w:name w:val="Hyperlink"/>
    <w:basedOn w:val="DefaultParagraphFont"/>
    <w:uiPriority w:val="99"/>
    <w:unhideWhenUsed/>
    <w:rsid w:val="0009477D"/>
    <w:rPr>
      <w:color w:val="0563C1" w:themeColor="hyperlink"/>
      <w:u w:val="single"/>
    </w:rPr>
  </w:style>
  <w:style w:type="character" w:styleId="UnresolvedMention">
    <w:name w:val="Unresolved Mention"/>
    <w:basedOn w:val="DefaultParagraphFont"/>
    <w:uiPriority w:val="99"/>
    <w:semiHidden/>
    <w:unhideWhenUsed/>
    <w:rsid w:val="005A6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doi.org/10.1055/s-0042-1742519" TargetMode="External"/><Relationship Id="rId2" Type="http://schemas.openxmlformats.org/officeDocument/2006/relationships/customXml" Target="../customXml/item2.xml"/><Relationship Id="rId16" Type="http://schemas.openxmlformats.org/officeDocument/2006/relationships/hyperlink" Target="https://healthtranslationsa.org.au/wp-content/uploads/2020/12/HTSA-Situational-Analysis-Continuity-of-Care-Across-the-Primary-and-Acute-Care-Interfa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ocialdigital.iadb.org/en/sph/resources/research-publications/19173" TargetMode="External"/><Relationship Id="rId10" Type="http://schemas.openxmlformats.org/officeDocument/2006/relationships/hyperlink" Target="https://healthtranslationsa.org.au/our-work/platforms/primary-acute-care-interface-data-projec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164982-942d-40b9-8a1f-40346208f883">
      <Terms xmlns="http://schemas.microsoft.com/office/infopath/2007/PartnerControls"/>
    </lcf76f155ced4ddcb4097134ff3c332f>
    <TaxCatchAll xmlns="dcb029e4-eef8-41c2-b872-e5fb0338e9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9BF2FA2B827D4190430E1230D67C2B" ma:contentTypeVersion="14" ma:contentTypeDescription="Create a new document." ma:contentTypeScope="" ma:versionID="7af2b29fb6fe023d25513e056fa960e5">
  <xsd:schema xmlns:xsd="http://www.w3.org/2001/XMLSchema" xmlns:xs="http://www.w3.org/2001/XMLSchema" xmlns:p="http://schemas.microsoft.com/office/2006/metadata/properties" xmlns:ns2="f1164982-942d-40b9-8a1f-40346208f883" xmlns:ns3="dcb029e4-eef8-41c2-b872-e5fb0338e987" xmlns:ns4="146850c0-3c16-44c6-aaa0-bb8947e36345" targetNamespace="http://schemas.microsoft.com/office/2006/metadata/properties" ma:root="true" ma:fieldsID="e1d85561a120e852a0fc2d25c9824233" ns2:_="" ns3:_="" ns4:_="">
    <xsd:import namespace="f1164982-942d-40b9-8a1f-40346208f883"/>
    <xsd:import namespace="dcb029e4-eef8-41c2-b872-e5fb0338e987"/>
    <xsd:import namespace="146850c0-3c16-44c6-aaa0-bb8947e363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64982-942d-40b9-8a1f-40346208f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b11fbce-e9a9-4425-b85e-38f464aeb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029e4-eef8-41c2-b872-e5fb0338e98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bd0fa54-22d3-49ba-971a-dfeab596d646}" ma:internalName="TaxCatchAll" ma:showField="CatchAllData" ma:web="146850c0-3c16-44c6-aaa0-bb8947e363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850c0-3c16-44c6-aaa0-bb8947e363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5BA12-E49B-409D-AC10-BB2D2B3722A6}">
  <ds:schemaRefs>
    <ds:schemaRef ds:uri="http://schemas.openxmlformats.org/package/2006/metadata/core-properties"/>
    <ds:schemaRef ds:uri="dcb029e4-eef8-41c2-b872-e5fb0338e987"/>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terms/"/>
    <ds:schemaRef ds:uri="146850c0-3c16-44c6-aaa0-bb8947e36345"/>
    <ds:schemaRef ds:uri="f1164982-942d-40b9-8a1f-40346208f883"/>
    <ds:schemaRef ds:uri="http://purl.org/dc/dcmitype/"/>
  </ds:schemaRefs>
</ds:datastoreItem>
</file>

<file path=customXml/itemProps2.xml><?xml version="1.0" encoding="utf-8"?>
<ds:datastoreItem xmlns:ds="http://schemas.openxmlformats.org/officeDocument/2006/customXml" ds:itemID="{ECC93E14-E306-493A-A669-AC4DB78FF1A5}">
  <ds:schemaRefs>
    <ds:schemaRef ds:uri="http://schemas.microsoft.com/sharepoint/v3/contenttype/forms"/>
  </ds:schemaRefs>
</ds:datastoreItem>
</file>

<file path=customXml/itemProps3.xml><?xml version="1.0" encoding="utf-8"?>
<ds:datastoreItem xmlns:ds="http://schemas.openxmlformats.org/officeDocument/2006/customXml" ds:itemID="{BBEE15FA-1A71-4A6C-90B8-1776E354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64982-942d-40b9-8a1f-40346208f883"/>
    <ds:schemaRef ds:uri="dcb029e4-eef8-41c2-b872-e5fb0338e987"/>
    <ds:schemaRef ds:uri="146850c0-3c16-44c6-aaa0-bb8947e36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Kahlia Green (Health Translation SA)</dc:creator>
  <cp:keywords/>
  <dc:description/>
  <cp:lastModifiedBy>Ecushla Linedale (Health Translation SA)</cp:lastModifiedBy>
  <cp:revision>2</cp:revision>
  <dcterms:created xsi:type="dcterms:W3CDTF">2023-07-24T00:53:00Z</dcterms:created>
  <dcterms:modified xsi:type="dcterms:W3CDTF">2023-07-24T00:53:00Z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0x010100159BF2FA2B827D4190430E1230D67C2B</vt:lpwstr>
  </property>
</Properties>
</file>